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蛟河市松江镇卫生院</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二〇二三年一月三十日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蛟河市松江镇卫生院</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名称：蛟河市</w:t>
      </w:r>
      <w:r>
        <w:rPr>
          <w:rFonts w:hint="eastAsia" w:ascii="仿宋" w:hAnsi="仿宋" w:eastAsia="仿宋"/>
          <w:bCs/>
          <w:kern w:val="0"/>
          <w:sz w:val="32"/>
          <w:szCs w:val="32"/>
          <w:lang w:val="en-US" w:eastAsia="zh-CN"/>
        </w:rPr>
        <w:t>松江镇</w:t>
      </w:r>
      <w:r>
        <w:rPr>
          <w:rFonts w:hint="eastAsia" w:ascii="仿宋" w:hAnsi="仿宋" w:eastAsia="仿宋"/>
          <w:bCs/>
          <w:kern w:val="0"/>
          <w:sz w:val="32"/>
          <w:szCs w:val="32"/>
        </w:rPr>
        <w:t>卫生院</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成立时间：1987年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本单位是按照国家医改规划而设立的非营利性基层医疗卫生服务机构，实行以健康为中心、家庭为单位、社区为半径、需求为导向的服务宗旨。为人民身体健康提供医疗与预防保健服务，为居民提供医疗服务和基本公共卫生服务。</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主要职能：基本公共卫生服务  基本医疗服务</w:t>
      </w:r>
    </w:p>
    <w:p>
      <w:pPr>
        <w:widowControl/>
        <w:spacing w:after="240"/>
        <w:ind w:firstLine="640" w:firstLineChars="200"/>
        <w:jc w:val="left"/>
        <w:rPr>
          <w:rFonts w:ascii="仿宋" w:hAnsi="仿宋" w:eastAsia="仿宋"/>
          <w:kern w:val="0"/>
          <w:sz w:val="32"/>
          <w:szCs w:val="32"/>
        </w:rPr>
      </w:pPr>
      <w:r>
        <w:rPr>
          <w:rFonts w:hint="eastAsia" w:ascii="仿宋" w:hAnsi="仿宋" w:eastAsia="仿宋"/>
          <w:bCs/>
          <w:kern w:val="0"/>
          <w:sz w:val="32"/>
          <w:szCs w:val="32"/>
        </w:rPr>
        <w:t>主要业务：承担基本公共卫生15项内容服务，及</w:t>
      </w:r>
      <w:r>
        <w:rPr>
          <w:rFonts w:hint="eastAsia" w:ascii="仿宋" w:hAnsi="仿宋" w:eastAsia="仿宋" w:cs="仿宋"/>
          <w:kern w:val="0"/>
          <w:sz w:val="32"/>
          <w:szCs w:val="32"/>
        </w:rPr>
        <w:t>政府卫生行政部门规定的其他公共卫生服务；提供一般常见病、多发病的诊疗、护理和诊断明确的慢性病的治疗及基本的医疗服务</w:t>
      </w:r>
      <w:r>
        <w:rPr>
          <w:rFonts w:hint="eastAsia" w:ascii="仿宋" w:hAnsi="仿宋" w:eastAsia="仿宋"/>
          <w:kern w:val="0"/>
          <w:sz w:val="32"/>
          <w:szCs w:val="32"/>
        </w:rPr>
        <w:t>等。</w:t>
      </w:r>
    </w:p>
    <w:p>
      <w:pPr>
        <w:jc w:val="left"/>
        <w:rPr>
          <w:rFonts w:ascii="仿宋" w:hAnsi="仿宋" w:eastAsia="仿宋"/>
          <w:sz w:val="32"/>
          <w:szCs w:val="32"/>
        </w:rPr>
      </w:pPr>
      <w:r>
        <w:rPr>
          <w:rFonts w:hint="eastAsia" w:ascii="仿宋" w:hAnsi="仿宋" w:eastAsia="仿宋"/>
          <w:sz w:val="32"/>
          <w:szCs w:val="32"/>
        </w:rPr>
        <w:t xml:space="preserve">   二、机构设置</w:t>
      </w:r>
    </w:p>
    <w:p>
      <w:pPr>
        <w:pStyle w:val="12"/>
        <w:ind w:firstLine="627" w:firstLineChars="196"/>
        <w:rPr>
          <w:rFonts w:ascii="仿宋" w:hAnsi="仿宋" w:eastAsia="仿宋"/>
          <w:kern w:val="0"/>
          <w:szCs w:val="32"/>
        </w:rPr>
      </w:pPr>
      <w:r>
        <w:rPr>
          <w:rFonts w:hint="eastAsia" w:ascii="仿宋" w:hAnsi="仿宋" w:eastAsia="仿宋"/>
          <w:kern w:val="0"/>
          <w:szCs w:val="32"/>
        </w:rPr>
        <w:t>机构设置包括：预防保健科、全科医疗、内科、妇科、儿科、检验科、影像科；</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28</w:t>
      </w:r>
      <w:r>
        <w:rPr>
          <w:rFonts w:hint="eastAsia" w:ascii="仿宋" w:hAnsi="仿宋" w:eastAsia="仿宋"/>
          <w:kern w:val="0"/>
          <w:szCs w:val="32"/>
        </w:rPr>
        <w:t>人，编制数</w:t>
      </w:r>
      <w:r>
        <w:rPr>
          <w:rFonts w:hint="eastAsia" w:ascii="仿宋" w:hAnsi="仿宋" w:eastAsia="仿宋"/>
          <w:kern w:val="0"/>
          <w:szCs w:val="32"/>
          <w:lang w:val="en-US" w:eastAsia="zh-CN"/>
        </w:rPr>
        <w:t>34</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255.39</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减少16.01</w:t>
      </w:r>
      <w:r>
        <w:rPr>
          <w:rFonts w:hint="eastAsia" w:ascii="仿宋" w:hAnsi="仿宋" w:eastAsia="仿宋"/>
          <w:sz w:val="32"/>
          <w:szCs w:val="32"/>
          <w:highlight w:val="none"/>
        </w:rPr>
        <w:t>万元，主要原因：</w:t>
      </w:r>
      <w:r>
        <w:rPr>
          <w:rFonts w:hint="eastAsia" w:ascii="仿宋" w:hAnsi="仿宋" w:eastAsia="仿宋"/>
          <w:sz w:val="32"/>
          <w:szCs w:val="32"/>
        </w:rPr>
        <w:t>基本公共卫生服务</w:t>
      </w:r>
      <w:r>
        <w:rPr>
          <w:rFonts w:hint="eastAsia" w:ascii="仿宋" w:hAnsi="仿宋" w:eastAsia="仿宋"/>
          <w:sz w:val="32"/>
          <w:szCs w:val="32"/>
          <w:lang w:val="en-US" w:eastAsia="zh-CN"/>
        </w:rPr>
        <w:t>人口数</w:t>
      </w:r>
      <w:r>
        <w:rPr>
          <w:rFonts w:hint="eastAsia" w:ascii="仿宋" w:hAnsi="仿宋" w:eastAsia="仿宋"/>
          <w:sz w:val="32"/>
          <w:szCs w:val="32"/>
          <w:highlight w:val="none"/>
          <w:lang w:val="en-US" w:eastAsia="zh-CN"/>
        </w:rPr>
        <w:t>减少</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239.38万元，占100%；本年收入中，一般公共预算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239.38万元。支出包括：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45.35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171.57</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22.46</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239.38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239.33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99</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公用经费0.</w:t>
      </w:r>
      <w:r>
        <w:rPr>
          <w:rFonts w:hint="eastAsia" w:ascii="仿宋" w:hAnsi="仿宋" w:eastAsia="仿宋"/>
          <w:sz w:val="32"/>
          <w:szCs w:val="32"/>
          <w:highlight w:val="none"/>
          <w:lang w:val="en-US" w:eastAsia="zh-CN"/>
        </w:rPr>
        <w:t>05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45.35万元，占19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缴纳在编职工养老和职业年金。</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卫生健康（类）支出171.57万元，占72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院内人员开资。</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住房保障（类）支出22.46万元，占9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缴纳职工住房公积金。</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2023年一般公共预算基本支出239.38万元，其中：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239.33</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公用经费0.</w:t>
      </w:r>
      <w:r>
        <w:rPr>
          <w:rFonts w:hint="eastAsia" w:ascii="仿宋" w:hAnsi="仿宋" w:eastAsia="仿宋"/>
          <w:sz w:val="32"/>
          <w:szCs w:val="32"/>
          <w:highlight w:val="none"/>
          <w:lang w:val="en-US" w:eastAsia="zh-CN"/>
        </w:rPr>
        <w:t>05</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8"/>
        <w:numPr>
          <w:ilvl w:val="0"/>
          <w:numId w:val="0"/>
        </w:numPr>
        <w:ind w:firstLine="640" w:firstLineChars="200"/>
        <w:rPr>
          <w:rFonts w:hint="eastAsia" w:ascii="仿宋" w:hAnsi="仿宋" w:eastAsia="仿宋"/>
          <w:sz w:val="32"/>
          <w:szCs w:val="32"/>
          <w:lang w:eastAsia="zh-CN"/>
        </w:rPr>
      </w:pPr>
      <w:r>
        <w:rPr>
          <w:rFonts w:hint="eastAsia" w:ascii="仿宋" w:hAnsi="仿宋" w:eastAsia="仿宋"/>
          <w:sz w:val="32"/>
          <w:szCs w:val="32"/>
        </w:rPr>
        <w:t>本单位无“三公”经费支出</w:t>
      </w:r>
      <w:r>
        <w:rPr>
          <w:rFonts w:hint="eastAsia" w:ascii="仿宋" w:hAnsi="仿宋" w:eastAsia="仿宋"/>
          <w:sz w:val="32"/>
          <w:szCs w:val="32"/>
          <w:lang w:eastAsia="zh-CN"/>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机关运行经费</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政府采购</w:t>
      </w:r>
      <w:r>
        <w:rPr>
          <w:rFonts w:hint="eastAsia" w:ascii="仿宋" w:hAnsi="仿宋" w:eastAsia="仿宋"/>
          <w:sz w:val="32"/>
          <w:szCs w:val="32"/>
          <w:highlight w:val="none"/>
          <w:lang w:eastAsia="zh-CN"/>
        </w:rPr>
        <w:t>。</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本</w:t>
      </w:r>
      <w:r>
        <w:rPr>
          <w:rFonts w:hint="eastAsia" w:ascii="仿宋" w:hAnsi="仿宋" w:eastAsia="仿宋"/>
          <w:sz w:val="32"/>
          <w:szCs w:val="32"/>
        </w:rPr>
        <w:t>单位</w:t>
      </w:r>
      <w:r>
        <w:rPr>
          <w:rFonts w:hint="eastAsia" w:ascii="仿宋" w:hAnsi="仿宋" w:eastAsia="仿宋"/>
          <w:sz w:val="32"/>
          <w:szCs w:val="32"/>
          <w:highlight w:val="none"/>
        </w:rPr>
        <w:t>共有车辆</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辆，其中，特种专业技术用车</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无</w:t>
      </w:r>
      <w:r>
        <w:rPr>
          <w:rFonts w:hint="eastAsia" w:ascii="仿宋" w:hAnsi="仿宋" w:eastAsia="仿宋"/>
          <w:sz w:val="32"/>
          <w:szCs w:val="32"/>
          <w:highlight w:val="none"/>
        </w:rPr>
        <w:t>部门预算安排购置车辆及价值200万元以上大型设备</w:t>
      </w:r>
      <w:r>
        <w:rPr>
          <w:rFonts w:hint="eastAsia" w:ascii="仿宋" w:hAnsi="仿宋" w:eastAsia="仿宋"/>
          <w:sz w:val="32"/>
          <w:szCs w:val="32"/>
          <w:highlight w:val="none"/>
          <w:lang w:val="en-US" w:eastAsia="zh-CN"/>
        </w:rPr>
        <w:t xml:space="preserve"> </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 xml:space="preserve">    本</w:t>
      </w:r>
      <w:r>
        <w:rPr>
          <w:rFonts w:hint="eastAsia" w:ascii="仿宋" w:hAnsi="仿宋" w:eastAsia="仿宋"/>
          <w:sz w:val="32"/>
          <w:szCs w:val="32"/>
        </w:rPr>
        <w:t>单位</w:t>
      </w:r>
      <w:r>
        <w:rPr>
          <w:rFonts w:hint="eastAsia" w:ascii="仿宋" w:hAnsi="仿宋" w:eastAsia="仿宋"/>
          <w:sz w:val="32"/>
          <w:szCs w:val="32"/>
          <w:highlight w:val="none"/>
        </w:rPr>
        <w:t>无预算项目绩效目标</w:t>
      </w:r>
      <w:r>
        <w:rPr>
          <w:rFonts w:hint="eastAsia" w:ascii="仿宋" w:hAnsi="仿宋" w:eastAsia="仿宋"/>
          <w:sz w:val="32"/>
          <w:szCs w:val="32"/>
          <w:highlight w:val="none"/>
          <w:lang w:eastAsia="zh-CN"/>
        </w:rPr>
        <w:t>。</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bookmarkStart w:id="0" w:name="_GoBack"/>
      <w:bookmarkEnd w:id="0"/>
    </w:p>
    <w:p>
      <w:pPr>
        <w:jc w:val="center"/>
        <w:rPr>
          <w:rFonts w:hint="eastAsia" w:ascii="黑体" w:hAnsi="黑体" w:eastAsia="黑体"/>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hint="eastAsia"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jc w:val="left"/>
        <w:rPr>
          <w:rFonts w:hint="eastAsia" w:ascii="仿宋_GB2312" w:hAnsi="仿宋_GB2312" w:eastAsia="仿宋_GB2312" w:cs="Times New Roman"/>
          <w:kern w:val="0"/>
          <w:sz w:val="32"/>
          <w:szCs w:val="32"/>
          <w:highlight w:val="none"/>
        </w:rPr>
      </w:pPr>
    </w:p>
    <w:p>
      <w:pPr>
        <w:ind w:firstLine="2560" w:firstLineChars="800"/>
        <w:jc w:val="both"/>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gzNDJmMzE1M2E3ZDgzNGRhZDRjZGVjNGZkZjhkODc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836312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7A4E42"/>
    <w:rsid w:val="15DA5399"/>
    <w:rsid w:val="187E3884"/>
    <w:rsid w:val="18F97B94"/>
    <w:rsid w:val="191A0446"/>
    <w:rsid w:val="1B4A363A"/>
    <w:rsid w:val="1B66485B"/>
    <w:rsid w:val="1BC526EF"/>
    <w:rsid w:val="1C882350"/>
    <w:rsid w:val="1CDC1A5B"/>
    <w:rsid w:val="1DA30610"/>
    <w:rsid w:val="1F451F7A"/>
    <w:rsid w:val="20EF71F1"/>
    <w:rsid w:val="2323212D"/>
    <w:rsid w:val="23FA4ECF"/>
    <w:rsid w:val="2527010D"/>
    <w:rsid w:val="26DC2BFA"/>
    <w:rsid w:val="27063D31"/>
    <w:rsid w:val="27091968"/>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4371A55"/>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4C69DA"/>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 w:val="7F9F3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2437</Words>
  <Characters>2643</Characters>
  <Lines>19</Lines>
  <Paragraphs>5</Paragraphs>
  <TotalTime>0</TotalTime>
  <ScaleCrop>false</ScaleCrop>
  <LinksUpToDate>false</LinksUpToDate>
  <CharactersWithSpaces>2718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岁月如烟</cp:lastModifiedBy>
  <dcterms:modified xsi:type="dcterms:W3CDTF">2023-02-01T01:25:01Z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