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蛟河市河南社区卫生服务中心2023年部门预算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bookmarkStart w:id="0" w:name="_GoBack"/>
      <w:bookmarkEnd w:id="0"/>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二〇二三年一月三十日</w:t>
      </w:r>
    </w:p>
    <w:p>
      <w:pPr>
        <w:jc w:val="center"/>
        <w:rPr>
          <w:rFonts w:hint="default" w:ascii="黑体" w:hAnsi="黑体" w:eastAsia="黑体"/>
          <w:sz w:val="44"/>
          <w:szCs w:val="44"/>
          <w:highlight w:val="yellow"/>
          <w:lang w:val="en-US" w:eastAsia="zh-CN"/>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ind w:firstLine="1760" w:firstLineChars="400"/>
        <w:jc w:val="both"/>
        <w:rPr>
          <w:rFonts w:hint="eastAsia" w:ascii="黑体" w:hAnsi="黑体" w:eastAsia="黑体"/>
          <w:sz w:val="44"/>
          <w:szCs w:val="44"/>
        </w:rPr>
      </w:pPr>
      <w:r>
        <w:rPr>
          <w:rFonts w:hint="eastAsia" w:ascii="黑体" w:hAnsi="黑体" w:eastAsia="黑体"/>
          <w:sz w:val="44"/>
          <w:szCs w:val="44"/>
        </w:rPr>
        <w:t>蛟河市河南社区卫生服务中心</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ind w:firstLine="1280" w:firstLineChars="400"/>
        <w:jc w:val="both"/>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 xml:space="preserve">名称：蛟河市河南社区卫生服务中心  </w:t>
      </w:r>
    </w:p>
    <w:p>
      <w:pPr>
        <w:pStyle w:val="10"/>
        <w:widowControl/>
        <w:spacing w:line="620" w:lineRule="exact"/>
        <w:ind w:firstLine="640" w:firstLineChars="200"/>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 xml:space="preserve"> 成立时间：</w:t>
      </w:r>
      <w:r>
        <w:rPr>
          <w:rFonts w:hint="eastAsia" w:ascii="仿宋" w:hAnsi="仿宋" w:eastAsia="仿宋"/>
          <w:bCs/>
          <w:kern w:val="0"/>
          <w:sz w:val="32"/>
          <w:szCs w:val="32"/>
          <w:highlight w:val="none"/>
          <w:lang w:val="en-US" w:eastAsia="zh-CN"/>
        </w:rPr>
        <w:t>2011</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本单位是按照国家医改规划而设立的非营利性基层医疗卫生服务机构，实行以健康为中心、家庭为单位、社区为半径、需求为导向的服务宗旨。为人民身体健康提供医疗与预防保健服务，为居民提供医疗服务和基本公共卫生服务。</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主要职能：基本公共卫生服务  基本医疗服务</w:t>
      </w:r>
    </w:p>
    <w:p>
      <w:pPr>
        <w:widowControl/>
        <w:spacing w:after="240"/>
        <w:ind w:firstLine="640" w:firstLineChars="200"/>
        <w:jc w:val="left"/>
        <w:rPr>
          <w:rFonts w:ascii="仿宋" w:hAnsi="仿宋" w:eastAsia="仿宋"/>
          <w:kern w:val="0"/>
          <w:sz w:val="32"/>
          <w:szCs w:val="32"/>
        </w:rPr>
      </w:pPr>
      <w:r>
        <w:rPr>
          <w:rFonts w:hint="eastAsia" w:ascii="仿宋" w:hAnsi="仿宋" w:eastAsia="仿宋"/>
          <w:bCs/>
          <w:kern w:val="0"/>
          <w:sz w:val="32"/>
          <w:szCs w:val="32"/>
        </w:rPr>
        <w:t>主要业务：承担基本公共卫生15项内容服务，及</w:t>
      </w:r>
      <w:r>
        <w:rPr>
          <w:rFonts w:hint="eastAsia" w:ascii="仿宋" w:hAnsi="仿宋" w:eastAsia="仿宋" w:cs="仿宋"/>
          <w:kern w:val="0"/>
          <w:sz w:val="32"/>
          <w:szCs w:val="32"/>
        </w:rPr>
        <w:t>政府卫生行政部门规定的其他公共卫生服务；提供一般常见病、多发病的诊疗、护理和诊断明确的慢性病的治疗及基本的医疗服务</w:t>
      </w:r>
      <w:r>
        <w:rPr>
          <w:rFonts w:hint="eastAsia" w:ascii="仿宋" w:hAnsi="仿宋" w:eastAsia="仿宋"/>
          <w:kern w:val="0"/>
          <w:sz w:val="32"/>
          <w:szCs w:val="32"/>
        </w:rPr>
        <w:t>等。</w:t>
      </w:r>
    </w:p>
    <w:p>
      <w:pPr>
        <w:jc w:val="left"/>
        <w:rPr>
          <w:rFonts w:ascii="仿宋" w:hAnsi="仿宋" w:eastAsia="仿宋"/>
          <w:sz w:val="32"/>
          <w:szCs w:val="32"/>
        </w:rPr>
      </w:pPr>
      <w:r>
        <w:rPr>
          <w:rFonts w:hint="eastAsia" w:ascii="仿宋" w:hAnsi="仿宋" w:eastAsia="仿宋"/>
          <w:sz w:val="32"/>
          <w:szCs w:val="32"/>
        </w:rPr>
        <w:t xml:space="preserve">   二、机构设置</w:t>
      </w:r>
    </w:p>
    <w:p>
      <w:pPr>
        <w:pStyle w:val="12"/>
        <w:ind w:firstLine="627" w:firstLineChars="196"/>
        <w:rPr>
          <w:rFonts w:ascii="仿宋" w:hAnsi="仿宋" w:eastAsia="仿宋"/>
          <w:kern w:val="0"/>
          <w:szCs w:val="32"/>
        </w:rPr>
      </w:pPr>
      <w:r>
        <w:rPr>
          <w:rFonts w:hint="eastAsia" w:ascii="仿宋" w:hAnsi="仿宋" w:eastAsia="仿宋"/>
          <w:kern w:val="0"/>
          <w:szCs w:val="32"/>
        </w:rPr>
        <w:t>机构设置包括：预防保健科、全科医疗、内科、妇科、儿科、检验科、影像科、中医科；</w:t>
      </w:r>
    </w:p>
    <w:p>
      <w:pPr>
        <w:pStyle w:val="12"/>
        <w:rPr>
          <w:rFonts w:ascii="仿宋" w:hAnsi="仿宋" w:eastAsia="仿宋"/>
          <w:kern w:val="0"/>
          <w:szCs w:val="32"/>
          <w:highlight w:val="none"/>
        </w:rPr>
      </w:pPr>
      <w:r>
        <w:rPr>
          <w:rFonts w:hint="eastAsia" w:ascii="仿宋" w:hAnsi="仿宋" w:eastAsia="仿宋"/>
          <w:kern w:val="0"/>
          <w:szCs w:val="32"/>
          <w:highlight w:val="none"/>
        </w:rPr>
        <w:t>人员情况：在</w:t>
      </w:r>
      <w:r>
        <w:rPr>
          <w:rFonts w:hint="eastAsia" w:ascii="仿宋" w:hAnsi="仿宋" w:eastAsia="仿宋"/>
          <w:kern w:val="0"/>
          <w:szCs w:val="32"/>
          <w:highlight w:val="none"/>
          <w:lang w:val="en-US" w:eastAsia="zh-CN"/>
        </w:rPr>
        <w:t>编</w:t>
      </w:r>
      <w:r>
        <w:rPr>
          <w:rFonts w:hint="eastAsia" w:ascii="仿宋" w:hAnsi="仿宋" w:eastAsia="仿宋"/>
          <w:kern w:val="0"/>
          <w:szCs w:val="32"/>
          <w:highlight w:val="none"/>
        </w:rPr>
        <w:t>人员</w:t>
      </w:r>
      <w:r>
        <w:rPr>
          <w:rFonts w:hint="eastAsia" w:ascii="仿宋" w:hAnsi="仿宋" w:eastAsia="仿宋"/>
          <w:kern w:val="0"/>
          <w:szCs w:val="32"/>
          <w:highlight w:val="none"/>
          <w:lang w:val="en-US" w:eastAsia="zh-CN"/>
        </w:rPr>
        <w:t>17</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26</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2</w:t>
      </w:r>
      <w:r>
        <w:rPr>
          <w:rFonts w:hint="eastAsia" w:ascii="仿宋" w:hAnsi="仿宋" w:eastAsia="仿宋"/>
          <w:kern w:val="0"/>
          <w:szCs w:val="32"/>
          <w:highlight w:val="none"/>
        </w:rPr>
        <w:t>人。</w:t>
      </w:r>
    </w:p>
    <w:p>
      <w:pPr>
        <w:ind w:firstLine="1920" w:firstLineChars="600"/>
        <w:jc w:val="both"/>
        <w:rPr>
          <w:rFonts w:hint="eastAsia" w:ascii="黑体" w:hAnsi="黑体" w:eastAsia="黑体"/>
          <w:sz w:val="32"/>
          <w:szCs w:val="32"/>
          <w:highlight w:val="none"/>
        </w:rPr>
      </w:pPr>
    </w:p>
    <w:p>
      <w:pPr>
        <w:ind w:firstLine="1920" w:firstLineChars="600"/>
        <w:jc w:val="both"/>
        <w:rPr>
          <w:rFonts w:hint="eastAsia" w:ascii="黑体" w:hAnsi="黑体" w:eastAsia="黑体"/>
          <w:sz w:val="32"/>
          <w:szCs w:val="32"/>
          <w:highlight w:val="none"/>
        </w:rPr>
      </w:pPr>
    </w:p>
    <w:p>
      <w:pPr>
        <w:ind w:firstLine="2240" w:firstLineChars="700"/>
        <w:jc w:val="both"/>
        <w:rPr>
          <w:rFonts w:hint="eastAsia" w:ascii="黑体" w:hAnsi="黑体" w:eastAsia="黑体"/>
          <w:sz w:val="32"/>
          <w:szCs w:val="32"/>
          <w:highlight w:val="none"/>
        </w:rPr>
      </w:pPr>
    </w:p>
    <w:p>
      <w:pPr>
        <w:ind w:firstLine="2240" w:firstLineChars="700"/>
        <w:jc w:val="both"/>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205.24</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76.31 </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本年度</w:t>
      </w:r>
      <w:r>
        <w:rPr>
          <w:rFonts w:hint="eastAsia" w:ascii="仿宋" w:hAnsi="仿宋" w:eastAsia="仿宋"/>
          <w:sz w:val="32"/>
          <w:szCs w:val="32"/>
          <w:highlight w:val="none"/>
          <w:lang w:eastAsia="zh-CN"/>
        </w:rPr>
        <w:t>项目资金</w:t>
      </w:r>
      <w:r>
        <w:rPr>
          <w:rFonts w:hint="eastAsia" w:ascii="仿宋" w:hAnsi="仿宋" w:eastAsia="仿宋"/>
          <w:sz w:val="32"/>
          <w:szCs w:val="32"/>
          <w:highlight w:val="none"/>
          <w:lang w:val="en-US" w:eastAsia="zh-CN"/>
        </w:rPr>
        <w:t>未</w:t>
      </w:r>
      <w:r>
        <w:rPr>
          <w:rFonts w:hint="eastAsia" w:ascii="仿宋" w:hAnsi="仿宋" w:eastAsia="仿宋"/>
          <w:sz w:val="32"/>
          <w:szCs w:val="32"/>
          <w:highlight w:val="none"/>
          <w:lang w:eastAsia="zh-CN"/>
        </w:rPr>
        <w:t>纳入预算。</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128.93万元，占100%；本年收入中，一般公共预算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128.93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128.93 万元，</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30.64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83.13</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15.16</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p>
    <w:p>
      <w:pPr>
        <w:ind w:firstLine="640" w:firstLineChars="200"/>
        <w:rPr>
          <w:rFonts w:ascii="仿宋" w:hAnsi="仿宋" w:eastAsia="仿宋"/>
          <w:sz w:val="32"/>
          <w:szCs w:val="32"/>
        </w:rPr>
      </w:pPr>
      <w:r>
        <w:rPr>
          <w:rFonts w:hint="eastAsia" w:ascii="仿宋" w:hAnsi="仿宋" w:eastAsia="仿宋"/>
          <w:sz w:val="32"/>
          <w:szCs w:val="32"/>
          <w:highlight w:val="none"/>
          <w:lang w:val="en-US" w:eastAsia="zh-CN"/>
        </w:rPr>
        <w:t>社会保障和就业（类）支出30.64 万元，占24</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基本养老保险保险缴费和其他养老支出。</w:t>
      </w:r>
    </w:p>
    <w:p>
      <w:pPr>
        <w:ind w:firstLine="640" w:firstLineChars="200"/>
        <w:rPr>
          <w:rFonts w:ascii="仿宋" w:hAnsi="仿宋" w:eastAsia="仿宋"/>
          <w:sz w:val="32"/>
          <w:szCs w:val="32"/>
        </w:rPr>
      </w:pPr>
      <w:r>
        <w:rPr>
          <w:rFonts w:hint="eastAsia" w:ascii="仿宋" w:hAnsi="仿宋" w:eastAsia="仿宋"/>
          <w:sz w:val="32"/>
          <w:szCs w:val="32"/>
          <w:highlight w:val="none"/>
          <w:lang w:val="en-US" w:eastAsia="zh-CN"/>
        </w:rPr>
        <w:t>卫生健康（类）支出 83.13万元，占64</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人员经费、专项业务和其他非财政拨款支出（疫苗接种劳务费）。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15.16万元，占12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为职工缴纳住房公积金。</w:t>
      </w:r>
    </w:p>
    <w:p>
      <w:pPr>
        <w:pStyle w:val="9"/>
        <w:ind w:firstLine="320" w:firstLineChars="100"/>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2023年一般公共预算基本支出128.93 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128.93</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 xml:space="preserve"> 年预算数减少</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万元，主要原因是</w:t>
      </w:r>
      <w:r>
        <w:rPr>
          <w:rFonts w:hint="eastAsia" w:ascii="仿宋" w:hAnsi="仿宋" w:eastAsia="仿宋"/>
          <w:kern w:val="0"/>
          <w:sz w:val="32"/>
          <w:szCs w:val="32"/>
          <w:highlight w:val="none"/>
          <w:lang w:eastAsia="zh-CN"/>
        </w:rPr>
        <w:t>没有公务接待费预算。</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年预算数减</w:t>
      </w:r>
    </w:p>
    <w:p>
      <w:pPr>
        <w:pStyle w:val="9"/>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万元。其中，公务用车运行维护费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万元，公务用车购置</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2023年</w:t>
      </w:r>
      <w:r>
        <w:rPr>
          <w:rFonts w:hint="eastAsia" w:ascii="仿宋" w:hAnsi="仿宋" w:eastAsia="仿宋"/>
          <w:sz w:val="32"/>
          <w:szCs w:val="32"/>
          <w:highlight w:val="none"/>
        </w:rPr>
        <w:t>机关运行经费财政拨款预算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万元，比 20</w:t>
      </w:r>
      <w:r>
        <w:rPr>
          <w:rFonts w:hint="eastAsia" w:ascii="仿宋" w:hAnsi="仿宋" w:eastAsia="仿宋"/>
          <w:sz w:val="32"/>
          <w:szCs w:val="32"/>
          <w:highlight w:val="none"/>
          <w:lang w:val="en-US" w:eastAsia="zh-CN"/>
        </w:rPr>
        <w:t>22</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%，主要原因是</w:t>
      </w:r>
      <w:r>
        <w:rPr>
          <w:rFonts w:hint="eastAsia" w:ascii="仿宋" w:hAnsi="仿宋" w:eastAsia="仿宋"/>
          <w:sz w:val="32"/>
          <w:szCs w:val="32"/>
        </w:rPr>
        <w:t>事业单位没有机关运行经费预算</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yellow"/>
        </w:rPr>
        <w:t xml:space="preserve"> 截至</w:t>
      </w:r>
      <w:r>
        <w:rPr>
          <w:rFonts w:hint="eastAsia" w:ascii="仿宋" w:hAnsi="仿宋" w:eastAsia="仿宋"/>
          <w:sz w:val="32"/>
          <w:szCs w:val="32"/>
          <w:highlight w:val="yellow"/>
          <w:lang w:eastAsia="zh-CN"/>
        </w:rPr>
        <w:t>202</w:t>
      </w:r>
      <w:r>
        <w:rPr>
          <w:rFonts w:hint="eastAsia" w:ascii="仿宋" w:hAnsi="仿宋" w:eastAsia="仿宋"/>
          <w:sz w:val="32"/>
          <w:szCs w:val="32"/>
          <w:highlight w:val="yellow"/>
          <w:lang w:val="en-US" w:eastAsia="zh-CN"/>
        </w:rPr>
        <w:t>3</w:t>
      </w:r>
      <w:r>
        <w:rPr>
          <w:rFonts w:hint="eastAsia" w:ascii="仿宋" w:hAnsi="仿宋" w:eastAsia="仿宋"/>
          <w:sz w:val="32"/>
          <w:szCs w:val="32"/>
          <w:highlight w:val="yellow"/>
        </w:rPr>
        <w:t>年</w:t>
      </w:r>
      <w:r>
        <w:rPr>
          <w:rFonts w:hint="eastAsia" w:ascii="仿宋" w:hAnsi="仿宋" w:eastAsia="仿宋"/>
          <w:sz w:val="32"/>
          <w:szCs w:val="32"/>
          <w:highlight w:val="yellow"/>
          <w:lang w:val="en-US" w:eastAsia="zh-CN"/>
        </w:rPr>
        <w:t>1</w:t>
      </w:r>
      <w:r>
        <w:rPr>
          <w:rFonts w:hint="eastAsia" w:ascii="仿宋" w:hAnsi="仿宋" w:eastAsia="仿宋"/>
          <w:sz w:val="32"/>
          <w:szCs w:val="32"/>
          <w:highlight w:val="yellow"/>
        </w:rPr>
        <w:t>月，</w:t>
      </w:r>
      <w:r>
        <w:rPr>
          <w:rFonts w:hint="eastAsia" w:ascii="仿宋" w:hAnsi="仿宋" w:eastAsia="仿宋"/>
          <w:sz w:val="32"/>
          <w:szCs w:val="32"/>
          <w:highlight w:val="none"/>
          <w:lang w:eastAsia="zh-CN"/>
        </w:rPr>
        <w:t>本</w:t>
      </w:r>
      <w:r>
        <w:rPr>
          <w:rFonts w:hint="eastAsia" w:ascii="仿宋" w:hAnsi="仿宋" w:eastAsia="仿宋"/>
          <w:sz w:val="32"/>
          <w:szCs w:val="32"/>
          <w:highlight w:val="none"/>
        </w:rPr>
        <w:t>单位共有车辆</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pPr>
        <w:pStyle w:val="8"/>
        <w:ind w:left="0" w:leftChars="0"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numPr>
          <w:ilvl w:val="0"/>
          <w:numId w:val="0"/>
        </w:numPr>
        <w:ind w:left="840" w:leftChars="0"/>
        <w:jc w:val="left"/>
        <w:rPr>
          <w:rFonts w:ascii="楷体" w:hAnsi="楷体" w:eastAsia="楷体"/>
          <w:sz w:val="32"/>
          <w:szCs w:val="32"/>
          <w:highlight w:val="none"/>
        </w:rPr>
      </w:pPr>
    </w:p>
    <w:p>
      <w:pPr>
        <w:numPr>
          <w:ilvl w:val="0"/>
          <w:numId w:val="4"/>
        </w:numPr>
        <w:ind w:left="200" w:leftChars="0" w:firstLine="640" w:firstLineChars="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default" w:ascii="仿宋" w:hAnsi="仿宋" w:eastAsia="仿宋"/>
          <w:sz w:val="32"/>
          <w:szCs w:val="32"/>
          <w:lang w:val="en-US" w:eastAsia="zh-CN"/>
        </w:rPr>
      </w:pPr>
      <w:r>
        <w:rPr>
          <w:rFonts w:hint="eastAsia" w:ascii="仿宋" w:hAnsi="仿宋" w:eastAsia="仿宋"/>
          <w:sz w:val="32"/>
          <w:szCs w:val="32"/>
          <w:highlight w:val="none"/>
        </w:rPr>
        <w:t xml:space="preserve">    </w:t>
      </w:r>
      <w:r>
        <w:rPr>
          <w:rFonts w:hint="eastAsia" w:ascii="仿宋" w:hAnsi="仿宋" w:eastAsia="仿宋"/>
          <w:sz w:val="32"/>
          <w:szCs w:val="32"/>
        </w:rPr>
        <w:t>按照全面实施预算绩效管理的要求，结合本</w:t>
      </w:r>
      <w:r>
        <w:rPr>
          <w:rFonts w:hint="eastAsia" w:ascii="仿宋" w:hAnsi="仿宋" w:eastAsia="仿宋"/>
          <w:sz w:val="32"/>
          <w:szCs w:val="32"/>
          <w:lang w:val="en-US" w:eastAsia="zh-CN"/>
        </w:rPr>
        <w:t>单位</w:t>
      </w:r>
      <w:r>
        <w:rPr>
          <w:rFonts w:hint="eastAsia" w:ascii="仿宋" w:hAnsi="仿宋" w:eastAsia="仿宋"/>
          <w:sz w:val="32"/>
          <w:szCs w:val="32"/>
        </w:rPr>
        <w:t>职能和重点工作，202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本单位无预算项目绩效目标编制情况。</w:t>
      </w:r>
    </w:p>
    <w:p>
      <w:pPr>
        <w:ind w:firstLine="2240" w:firstLineChars="700"/>
        <w:jc w:val="both"/>
        <w:rPr>
          <w:rFonts w:hint="eastAsia" w:ascii="黑体" w:hAnsi="黑体" w:eastAsia="黑体"/>
          <w:sz w:val="32"/>
          <w:szCs w:val="32"/>
          <w:highlight w:val="none"/>
        </w:rPr>
      </w:pPr>
    </w:p>
    <w:p>
      <w:pPr>
        <w:ind w:firstLine="2240" w:firstLineChars="700"/>
        <w:jc w:val="both"/>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rPr>
          <w:rFonts w:ascii="仿宋" w:hAnsi="仿宋" w:eastAsia="仿宋"/>
          <w:b/>
          <w:sz w:val="32"/>
          <w:szCs w:val="32"/>
          <w:highlight w:val="none"/>
        </w:rPr>
      </w:pPr>
    </w:p>
    <w:sectPr>
      <w:pgSz w:w="11906" w:h="16838"/>
      <w:pgMar w:top="1134"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pPr>
        <w:ind w:left="200"/>
      </w:pPr>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mExM2M0N2JhOTkzMGJhNzQyN2U4MGUxZjM1MzY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12449E"/>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D545F5"/>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2565</Words>
  <Characters>2791</Characters>
  <Lines>19</Lines>
  <Paragraphs>5</Paragraphs>
  <TotalTime>0</TotalTime>
  <ScaleCrop>false</ScaleCrop>
  <LinksUpToDate>false</LinksUpToDate>
  <CharactersWithSpaces>2898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一道香～～刘小贱</cp:lastModifiedBy>
  <dcterms:modified xsi:type="dcterms:W3CDTF">2023-01-31T00:54:57Z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1639076FA5904790A0BD83C59ED9B41E</vt:lpwstr>
  </property>
</Properties>
</file>