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蛟河市会计核算中心</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2023年单位预算</w:t>
      </w:r>
    </w:p>
    <w:p>
      <w:pPr>
        <w:jc w:val="center"/>
        <w:rPr>
          <w:rFonts w:hint="eastAsia" w:ascii="黑体" w:hAnsi="黑体" w:eastAsia="黑体"/>
          <w:sz w:val="44"/>
          <w:szCs w:val="44"/>
          <w:highlight w:val="none"/>
        </w:rPr>
      </w:pPr>
      <w:bookmarkStart w:id="0" w:name="_GoBack"/>
      <w:bookmarkEnd w:id="0"/>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蛟河市</w:t>
      </w:r>
      <w:r>
        <w:rPr>
          <w:rFonts w:hint="eastAsia" w:ascii="黑体" w:hAnsi="黑体" w:eastAsia="黑体"/>
          <w:sz w:val="44"/>
          <w:szCs w:val="44"/>
          <w:lang w:val="en-US" w:eastAsia="zh-CN"/>
        </w:rPr>
        <w:t>会计核算中心</w:t>
      </w:r>
      <w:r>
        <w:rPr>
          <w:rFonts w:hint="eastAsia" w:ascii="黑体" w:hAnsi="黑体" w:eastAsia="黑体"/>
          <w:sz w:val="44"/>
          <w:szCs w:val="44"/>
          <w:lang w:eastAsia="zh-CN"/>
        </w:rPr>
        <w:t>2023</w:t>
      </w:r>
      <w:r>
        <w:rPr>
          <w:rFonts w:hint="eastAsia" w:ascii="黑体" w:hAnsi="黑体" w:eastAsia="黑体"/>
          <w:sz w:val="44"/>
          <w:szCs w:val="44"/>
        </w:rPr>
        <w:t>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单位概况</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单位概况</w:t>
      </w:r>
    </w:p>
    <w:p>
      <w:pPr>
        <w:jc w:val="left"/>
        <w:rPr>
          <w:rFonts w:hint="eastAsia" w:ascii="仿宋" w:hAnsi="仿宋" w:eastAsia="仿宋" w:cs="仿宋"/>
          <w:sz w:val="32"/>
          <w:szCs w:val="32"/>
        </w:rPr>
      </w:pPr>
      <w:r>
        <w:rPr>
          <w:rFonts w:hint="eastAsia" w:ascii="仿宋" w:hAnsi="仿宋" w:eastAsia="仿宋" w:cs="仿宋"/>
          <w:sz w:val="32"/>
          <w:szCs w:val="32"/>
        </w:rPr>
        <w:t xml:space="preserve">  </w:t>
      </w:r>
    </w:p>
    <w:p>
      <w:pPr>
        <w:jc w:val="left"/>
        <w:rPr>
          <w:rFonts w:hint="eastAsia" w:ascii="仿宋" w:hAnsi="仿宋" w:eastAsia="仿宋" w:cs="仿宋"/>
          <w:sz w:val="32"/>
          <w:szCs w:val="32"/>
        </w:rPr>
      </w:pPr>
      <w:r>
        <w:rPr>
          <w:rFonts w:hint="eastAsia" w:ascii="仿宋" w:hAnsi="仿宋" w:eastAsia="仿宋" w:cs="仿宋"/>
          <w:sz w:val="32"/>
          <w:szCs w:val="32"/>
        </w:rPr>
        <w:t xml:space="preserve"> 一、主要职能</w:t>
      </w:r>
    </w:p>
    <w:p>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w:t>
      </w:r>
      <w:r>
        <w:rPr>
          <w:rFonts w:hint="eastAsia" w:ascii="仿宋" w:hAnsi="仿宋" w:eastAsia="仿宋"/>
          <w:bCs/>
          <w:kern w:val="0"/>
          <w:sz w:val="32"/>
          <w:szCs w:val="32"/>
          <w:lang w:val="en-US" w:eastAsia="zh-CN"/>
        </w:rPr>
        <w:t>会计核算</w:t>
      </w:r>
      <w:r>
        <w:rPr>
          <w:rFonts w:hint="eastAsia" w:ascii="仿宋" w:hAnsi="仿宋" w:eastAsia="仿宋"/>
          <w:bCs/>
          <w:kern w:val="0"/>
          <w:sz w:val="32"/>
          <w:szCs w:val="32"/>
        </w:rPr>
        <w:t>中心</w:t>
      </w:r>
    </w:p>
    <w:p>
      <w:pPr>
        <w:pStyle w:val="11"/>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2006</w:t>
      </w:r>
      <w:r>
        <w:rPr>
          <w:rFonts w:hint="eastAsia" w:ascii="仿宋" w:hAnsi="仿宋" w:eastAsia="仿宋"/>
          <w:bCs/>
          <w:kern w:val="0"/>
          <w:sz w:val="32"/>
          <w:szCs w:val="32"/>
        </w:rPr>
        <w:t>年</w:t>
      </w:r>
    </w:p>
    <w:p>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pPr>
        <w:spacing w:line="580" w:lineRule="exact"/>
        <w:ind w:firstLine="640" w:firstLineChars="200"/>
        <w:rPr>
          <w:rFonts w:hint="eastAsia" w:ascii="仿宋" w:hAnsi="仿宋" w:eastAsia="仿宋" w:cs="仿宋"/>
          <w:bCs/>
          <w:kern w:val="0"/>
          <w:sz w:val="32"/>
          <w:szCs w:val="32"/>
        </w:rPr>
      </w:pPr>
      <w:r>
        <w:rPr>
          <w:rFonts w:hint="eastAsia" w:ascii="仿宋" w:hAnsi="仿宋" w:eastAsia="仿宋" w:cs="仿宋"/>
          <w:bCs/>
          <w:kern w:val="0"/>
          <w:sz w:val="32"/>
          <w:szCs w:val="32"/>
        </w:rPr>
        <w:t>主要职能：</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（一）负责社会主义新农村建设专项资金和小城镇发展专项资金申请、管理。</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（二）负责管理调整完善乡镇财政管理体制。</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（三）负责管理乡镇财政决算及事业费支出，编制乡镇总预算会计相关报表、报告。</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（四）负责统一管理乡镇预算内外收入并拨付其支出。</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（五）负责纳入“乡财县管”范围乡镇工资发放。</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（六）负责参与乡镇财政综合预算编制。</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（七）负责办理乡镇财政收支结算审核。</w:t>
      </w:r>
    </w:p>
    <w:p>
      <w:pPr>
        <w:spacing w:line="5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（八）负责监督乡镇核算中心会计支出核算。</w:t>
      </w:r>
    </w:p>
    <w:p>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pPr>
        <w:spacing w:line="540" w:lineRule="exact"/>
        <w:ind w:firstLine="640" w:firstLineChars="200"/>
        <w:rPr>
          <w:rFonts w:hint="eastAsia" w:ascii="仿宋" w:hAnsi="仿宋" w:eastAsia="仿宋" w:cs="仿宋"/>
          <w:sz w:val="32"/>
        </w:rPr>
      </w:pPr>
      <w:r>
        <w:rPr>
          <w:rFonts w:hint="eastAsia" w:ascii="仿宋" w:hAnsi="仿宋" w:eastAsia="仿宋" w:cs="仿宋"/>
          <w:sz w:val="32"/>
        </w:rPr>
        <w:t>根据所承担的工作职责和编制总量，蛟河市会计核算中心无内设机构。</w:t>
      </w:r>
    </w:p>
    <w:p>
      <w:pPr>
        <w:pStyle w:val="13"/>
        <w:ind w:firstLine="627" w:firstLineChars="196"/>
        <w:rPr>
          <w:rFonts w:hint="eastAsia" w:ascii="仿宋" w:hAnsi="仿宋" w:eastAsia="仿宋" w:cs="仿宋"/>
          <w:kern w:val="0"/>
          <w:szCs w:val="32"/>
        </w:rPr>
      </w:pPr>
      <w:r>
        <w:rPr>
          <w:rFonts w:hint="eastAsia" w:ascii="仿宋" w:hAnsi="仿宋" w:eastAsia="仿宋" w:cs="仿宋"/>
          <w:kern w:val="0"/>
          <w:szCs w:val="32"/>
        </w:rPr>
        <w:t>人员情况：在职人员</w:t>
      </w:r>
      <w:r>
        <w:rPr>
          <w:rFonts w:hint="eastAsia" w:ascii="仿宋" w:hAnsi="仿宋" w:eastAsia="仿宋" w:cs="仿宋"/>
          <w:kern w:val="0"/>
          <w:szCs w:val="32"/>
          <w:lang w:val="en-US" w:eastAsia="zh-CN"/>
        </w:rPr>
        <w:t>17</w:t>
      </w:r>
      <w:r>
        <w:rPr>
          <w:rFonts w:hint="eastAsia" w:ascii="仿宋" w:hAnsi="仿宋" w:eastAsia="仿宋" w:cs="仿宋"/>
          <w:kern w:val="0"/>
          <w:szCs w:val="32"/>
        </w:rPr>
        <w:t>人，编制数</w:t>
      </w:r>
      <w:r>
        <w:rPr>
          <w:rFonts w:hint="eastAsia" w:ascii="仿宋" w:hAnsi="仿宋" w:eastAsia="仿宋" w:cs="仿宋"/>
          <w:kern w:val="0"/>
          <w:szCs w:val="32"/>
          <w:lang w:val="en-US" w:eastAsia="zh-CN"/>
        </w:rPr>
        <w:t>23</w:t>
      </w:r>
      <w:r>
        <w:rPr>
          <w:rFonts w:hint="eastAsia" w:ascii="仿宋" w:hAnsi="仿宋" w:eastAsia="仿宋" w:cs="仿宋"/>
          <w:kern w:val="0"/>
          <w:szCs w:val="32"/>
        </w:rPr>
        <w:t>人，领导职数</w:t>
      </w:r>
      <w:r>
        <w:rPr>
          <w:rFonts w:hint="eastAsia" w:ascii="仿宋" w:hAnsi="仿宋" w:eastAsia="仿宋" w:cs="仿宋"/>
          <w:kern w:val="0"/>
          <w:szCs w:val="32"/>
          <w:lang w:val="en-US" w:eastAsia="zh-CN"/>
        </w:rPr>
        <w:t>1</w:t>
      </w:r>
      <w:r>
        <w:rPr>
          <w:rFonts w:hint="eastAsia" w:ascii="仿宋" w:hAnsi="仿宋" w:eastAsia="仿宋" w:cs="仿宋"/>
          <w:kern w:val="0"/>
          <w:szCs w:val="32"/>
        </w:rPr>
        <w:t>个。</w:t>
      </w:r>
    </w:p>
    <w:p>
      <w:pPr>
        <w:jc w:val="left"/>
        <w:rPr>
          <w:rFonts w:hint="eastAsia"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2023</w:t>
      </w:r>
      <w:r>
        <w:rPr>
          <w:rFonts w:hint="eastAsia" w:ascii="楷体" w:hAnsi="楷体" w:eastAsia="楷体"/>
          <w:sz w:val="32"/>
          <w:szCs w:val="32"/>
        </w:rPr>
        <w:t>年收支预算总体情况</w:t>
      </w:r>
    </w:p>
    <w:p>
      <w:pPr>
        <w:pStyle w:val="12"/>
        <w:ind w:firstLine="640" w:firstLineChars="200"/>
        <w:jc w:val="left"/>
        <w:rPr>
          <w:rFonts w:ascii="仿宋" w:hAnsi="仿宋" w:eastAsia="仿宋"/>
          <w:color w:val="FF0000"/>
          <w:sz w:val="32"/>
          <w:szCs w:val="32"/>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hint="eastAsia" w:ascii="仿宋" w:hAnsi="仿宋" w:eastAsia="仿宋"/>
          <w:color w:val="auto"/>
          <w:sz w:val="32"/>
          <w:szCs w:val="32"/>
          <w:lang w:eastAsia="zh-CN"/>
        </w:rPr>
        <w:t>2023</w:t>
      </w:r>
      <w:r>
        <w:rPr>
          <w:rFonts w:hint="eastAsia" w:ascii="仿宋" w:hAnsi="仿宋" w:eastAsia="仿宋"/>
          <w:color w:val="auto"/>
          <w:sz w:val="32"/>
          <w:szCs w:val="32"/>
        </w:rPr>
        <w:t>年收支总预算</w:t>
      </w:r>
      <w:r>
        <w:rPr>
          <w:rFonts w:hint="eastAsia" w:ascii="仿宋" w:hAnsi="仿宋" w:eastAsia="仿宋"/>
          <w:color w:val="auto"/>
          <w:sz w:val="32"/>
          <w:szCs w:val="32"/>
          <w:lang w:val="en-US" w:eastAsia="zh-CN"/>
        </w:rPr>
        <w:t>161.01</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年预算数</w:t>
      </w:r>
      <w:r>
        <w:rPr>
          <w:rFonts w:hint="eastAsia" w:ascii="仿宋" w:hAnsi="仿宋" w:eastAsia="仿宋"/>
          <w:color w:val="auto"/>
          <w:sz w:val="32"/>
          <w:szCs w:val="32"/>
          <w:lang w:val="en-US" w:eastAsia="zh-CN"/>
        </w:rPr>
        <w:t>215.62</w:t>
      </w:r>
      <w:r>
        <w:rPr>
          <w:rFonts w:hint="eastAsia" w:ascii="仿宋" w:hAnsi="仿宋" w:eastAsia="仿宋"/>
          <w:color w:val="auto"/>
          <w:sz w:val="32"/>
          <w:szCs w:val="32"/>
        </w:rPr>
        <w:t>万元</w:t>
      </w:r>
      <w:r>
        <w:rPr>
          <w:rFonts w:hint="eastAsia" w:ascii="仿宋" w:hAnsi="仿宋" w:eastAsia="仿宋"/>
          <w:color w:val="auto"/>
          <w:sz w:val="32"/>
          <w:szCs w:val="32"/>
          <w:lang w:val="en-US" w:eastAsia="zh-CN"/>
        </w:rPr>
        <w:t>减少54.61</w:t>
      </w:r>
      <w:r>
        <w:rPr>
          <w:rFonts w:hint="eastAsia" w:ascii="仿宋" w:hAnsi="仿宋" w:eastAsia="仿宋"/>
          <w:color w:val="auto"/>
          <w:sz w:val="32"/>
          <w:szCs w:val="32"/>
        </w:rPr>
        <w:t>万元，主要原因</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退休一人，调出六人</w:t>
      </w:r>
      <w:r>
        <w:rPr>
          <w:rFonts w:hint="eastAsia" w:ascii="仿宋" w:hAnsi="仿宋" w:eastAsia="仿宋"/>
          <w:color w:val="auto"/>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2023</w:t>
      </w:r>
      <w:r>
        <w:rPr>
          <w:rFonts w:hint="eastAsia" w:ascii="楷体" w:hAnsi="楷体" w:eastAsia="楷体"/>
          <w:sz w:val="32"/>
          <w:szCs w:val="32"/>
        </w:rPr>
        <w:t>年收入预算情况</w:t>
      </w:r>
    </w:p>
    <w:p>
      <w:pPr>
        <w:pStyle w:val="12"/>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年本单位收入预算</w:t>
      </w:r>
      <w:r>
        <w:rPr>
          <w:rFonts w:hint="eastAsia" w:ascii="仿宋" w:hAnsi="仿宋" w:eastAsia="仿宋"/>
          <w:sz w:val="32"/>
          <w:szCs w:val="32"/>
          <w:lang w:val="en-US" w:eastAsia="zh-CN"/>
        </w:rPr>
        <w:t>161.01</w:t>
      </w:r>
      <w:r>
        <w:rPr>
          <w:rFonts w:hint="eastAsia" w:ascii="仿宋" w:hAnsi="仿宋" w:eastAsia="仿宋"/>
          <w:sz w:val="32"/>
          <w:szCs w:val="32"/>
        </w:rPr>
        <w:t>万元，其中：本年收</w:t>
      </w:r>
      <w:r>
        <w:rPr>
          <w:rFonts w:hint="eastAsia" w:ascii="仿宋" w:hAnsi="仿宋" w:eastAsia="仿宋"/>
          <w:sz w:val="32"/>
          <w:szCs w:val="32"/>
          <w:lang w:val="en-US" w:eastAsia="zh-CN"/>
        </w:rPr>
        <w:t>入161.01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%。本年收入中，一般公共预算财政拨款收入</w:t>
      </w:r>
      <w:r>
        <w:rPr>
          <w:rFonts w:hint="eastAsia" w:ascii="仿宋" w:hAnsi="仿宋" w:eastAsia="仿宋"/>
          <w:sz w:val="32"/>
          <w:szCs w:val="32"/>
          <w:lang w:val="en-US" w:eastAsia="zh-CN"/>
        </w:rPr>
        <w:t>161.01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%；国有资本经营预算拨款收入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2023</w:t>
      </w:r>
      <w:r>
        <w:rPr>
          <w:rFonts w:hint="eastAsia" w:ascii="楷体" w:hAnsi="楷体" w:eastAsia="楷体"/>
          <w:sz w:val="32"/>
          <w:szCs w:val="32"/>
        </w:rPr>
        <w:t>年支出预算情况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年支出预算</w:t>
      </w:r>
      <w:r>
        <w:rPr>
          <w:rFonts w:hint="eastAsia" w:ascii="仿宋" w:hAnsi="仿宋" w:eastAsia="仿宋"/>
          <w:sz w:val="32"/>
          <w:szCs w:val="32"/>
          <w:lang w:val="en-US" w:eastAsia="zh-CN"/>
        </w:rPr>
        <w:t>161.01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161.01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2023</w:t>
      </w:r>
      <w:r>
        <w:rPr>
          <w:rFonts w:hint="eastAsia" w:ascii="楷体" w:hAnsi="楷体" w:eastAsia="楷体"/>
          <w:sz w:val="32"/>
          <w:szCs w:val="32"/>
        </w:rPr>
        <w:t>年财政拨款收支预算情况</w:t>
      </w:r>
    </w:p>
    <w:p>
      <w:pPr>
        <w:pStyle w:val="12"/>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年财政拨款收支总预算</w:t>
      </w:r>
      <w:r>
        <w:rPr>
          <w:rFonts w:hint="eastAsia" w:ascii="仿宋" w:hAnsi="仿宋" w:eastAsia="仿宋"/>
          <w:sz w:val="32"/>
          <w:szCs w:val="32"/>
          <w:lang w:val="en-US" w:eastAsia="zh-CN"/>
        </w:rPr>
        <w:t>161.01</w:t>
      </w:r>
      <w:r>
        <w:rPr>
          <w:rFonts w:hint="eastAsia" w:ascii="仿宋" w:hAnsi="仿宋" w:eastAsia="仿宋"/>
          <w:sz w:val="32"/>
          <w:szCs w:val="32"/>
        </w:rPr>
        <w:t>万元，其中：本年收入</w:t>
      </w:r>
      <w:r>
        <w:rPr>
          <w:rFonts w:hint="eastAsia" w:ascii="仿宋" w:hAnsi="仿宋" w:eastAsia="仿宋"/>
          <w:sz w:val="32"/>
          <w:szCs w:val="32"/>
          <w:lang w:val="en-US" w:eastAsia="zh-CN"/>
        </w:rPr>
        <w:t>161.01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121.46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18.41</w:t>
      </w:r>
      <w:r>
        <w:rPr>
          <w:rFonts w:hint="eastAsia" w:ascii="仿宋" w:hAnsi="仿宋" w:eastAsia="仿宋"/>
          <w:sz w:val="32"/>
          <w:szCs w:val="32"/>
        </w:rPr>
        <w:t>万元，卫生健康支出</w:t>
      </w:r>
      <w:r>
        <w:rPr>
          <w:rFonts w:hint="eastAsia" w:ascii="仿宋" w:hAnsi="仿宋" w:eastAsia="仿宋"/>
          <w:sz w:val="32"/>
          <w:szCs w:val="32"/>
          <w:lang w:val="en-US" w:eastAsia="zh-CN"/>
        </w:rPr>
        <w:t>7.64</w:t>
      </w:r>
      <w:r>
        <w:rPr>
          <w:rFonts w:hint="eastAsia" w:ascii="仿宋" w:hAnsi="仿宋" w:eastAsia="仿宋"/>
          <w:sz w:val="32"/>
          <w:szCs w:val="32"/>
        </w:rPr>
        <w:t>万元，住房保障支出</w:t>
      </w:r>
      <w:r>
        <w:rPr>
          <w:rFonts w:hint="eastAsia" w:ascii="仿宋" w:hAnsi="仿宋" w:eastAsia="仿宋"/>
          <w:sz w:val="32"/>
          <w:szCs w:val="32"/>
          <w:lang w:val="en-US" w:eastAsia="zh-CN"/>
        </w:rPr>
        <w:t>13.5</w:t>
      </w:r>
      <w:r>
        <w:rPr>
          <w:rFonts w:hint="eastAsia" w:ascii="仿宋" w:hAnsi="仿宋" w:eastAsia="仿宋"/>
          <w:sz w:val="32"/>
          <w:szCs w:val="32"/>
        </w:rPr>
        <w:t>万元，国有资本经营预算支</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161.01</w:t>
      </w:r>
      <w:r>
        <w:rPr>
          <w:rFonts w:hint="eastAsia" w:ascii="仿宋" w:hAnsi="仿宋" w:eastAsia="仿宋"/>
          <w:sz w:val="32"/>
          <w:szCs w:val="32"/>
        </w:rPr>
        <w:t>万元，其中：基本支出</w:t>
      </w:r>
      <w:r>
        <w:rPr>
          <w:rFonts w:hint="eastAsia" w:ascii="仿宋" w:hAnsi="仿宋" w:eastAsia="仿宋"/>
          <w:sz w:val="32"/>
          <w:szCs w:val="32"/>
          <w:lang w:val="en-US" w:eastAsia="zh-CN"/>
        </w:rPr>
        <w:t>161.01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154.37</w:t>
      </w:r>
      <w:r>
        <w:rPr>
          <w:rFonts w:hint="eastAsia" w:ascii="仿宋" w:hAnsi="仿宋" w:eastAsia="仿宋"/>
          <w:sz w:val="32"/>
          <w:szCs w:val="32"/>
        </w:rPr>
        <w:t>万元，占</w:t>
      </w:r>
      <w:r>
        <w:rPr>
          <w:rFonts w:hint="eastAsia" w:ascii="仿宋" w:hAnsi="仿宋" w:eastAsia="仿宋"/>
          <w:sz w:val="32"/>
          <w:szCs w:val="32"/>
          <w:lang w:val="en-US" w:eastAsia="zh-CN"/>
        </w:rPr>
        <w:t>95.88</w:t>
      </w:r>
      <w:r>
        <w:rPr>
          <w:rFonts w:hint="eastAsia" w:ascii="仿宋" w:hAnsi="仿宋" w:eastAsia="仿宋"/>
          <w:sz w:val="32"/>
          <w:szCs w:val="32"/>
        </w:rPr>
        <w:t>%；公用经费</w:t>
      </w:r>
      <w:r>
        <w:rPr>
          <w:rFonts w:hint="eastAsia" w:ascii="仿宋" w:hAnsi="仿宋" w:eastAsia="仿宋"/>
          <w:sz w:val="32"/>
          <w:szCs w:val="32"/>
          <w:lang w:val="en-US" w:eastAsia="zh-CN"/>
        </w:rPr>
        <w:t>6.65</w:t>
      </w:r>
      <w:r>
        <w:rPr>
          <w:rFonts w:hint="eastAsia" w:ascii="仿宋" w:hAnsi="仿宋" w:eastAsia="仿宋"/>
          <w:sz w:val="32"/>
          <w:szCs w:val="32"/>
        </w:rPr>
        <w:t>万元，占</w:t>
      </w:r>
      <w:r>
        <w:rPr>
          <w:rFonts w:hint="eastAsia" w:ascii="仿宋" w:hAnsi="仿宋" w:eastAsia="仿宋"/>
          <w:sz w:val="32"/>
          <w:szCs w:val="32"/>
          <w:lang w:val="en-US" w:eastAsia="zh-CN"/>
        </w:rPr>
        <w:t>4.13</w:t>
      </w:r>
      <w:r>
        <w:rPr>
          <w:rFonts w:hint="eastAsia" w:ascii="仿宋" w:hAnsi="仿宋" w:eastAsia="仿宋"/>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一般公共服务（类）支出</w:t>
      </w:r>
      <w:r>
        <w:rPr>
          <w:rFonts w:hint="eastAsia" w:ascii="仿宋" w:hAnsi="仿宋" w:eastAsia="仿宋"/>
          <w:color w:val="auto"/>
          <w:sz w:val="32"/>
          <w:szCs w:val="32"/>
          <w:lang w:val="en-US" w:eastAsia="zh-CN"/>
        </w:rPr>
        <w:t>121.46</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75.44</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行政单位人员工资、机构运行费及财政事务方面的项目支出等。</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社会保障和就业（类）支出</w:t>
      </w:r>
      <w:r>
        <w:rPr>
          <w:rFonts w:hint="eastAsia" w:ascii="仿宋" w:hAnsi="仿宋" w:eastAsia="仿宋"/>
          <w:color w:val="auto"/>
          <w:sz w:val="32"/>
          <w:szCs w:val="32"/>
          <w:lang w:val="en-US" w:eastAsia="zh-CN"/>
        </w:rPr>
        <w:t>18.41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11.43</w:t>
      </w:r>
      <w:r>
        <w:rPr>
          <w:rFonts w:hint="eastAsia" w:ascii="仿宋" w:hAnsi="仿宋" w:eastAsia="仿宋"/>
          <w:color w:val="auto"/>
          <w:sz w:val="32"/>
          <w:szCs w:val="32"/>
        </w:rPr>
        <w:t>%，主要用于：主要用于：</w:t>
      </w:r>
      <w:r>
        <w:rPr>
          <w:rFonts w:hint="eastAsia" w:ascii="仿宋" w:hAnsi="仿宋" w:eastAsia="仿宋"/>
          <w:color w:val="auto"/>
          <w:sz w:val="32"/>
          <w:szCs w:val="32"/>
          <w:lang w:eastAsia="zh-CN"/>
        </w:rPr>
        <w:t>行政单位在职及离退休人员经费支出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卫生健康（类）支出</w:t>
      </w:r>
      <w:r>
        <w:rPr>
          <w:rFonts w:hint="eastAsia" w:ascii="仿宋" w:hAnsi="仿宋" w:eastAsia="仿宋"/>
          <w:color w:val="auto"/>
          <w:sz w:val="32"/>
          <w:szCs w:val="32"/>
          <w:lang w:val="en-US" w:eastAsia="zh-CN"/>
        </w:rPr>
        <w:t>7.64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4.75</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行政单位基本医疗保险缴费支出</w:t>
      </w:r>
      <w:r>
        <w:rPr>
          <w:rFonts w:hint="eastAsia" w:ascii="仿宋" w:hAnsi="仿宋" w:eastAsia="仿宋"/>
          <w:color w:val="auto"/>
          <w:sz w:val="32"/>
          <w:szCs w:val="32"/>
        </w:rPr>
        <w:t>。</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13.5</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8.38</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行政单位为职工缴纳的住房公积金支出</w:t>
      </w:r>
      <w:r>
        <w:rPr>
          <w:rFonts w:hint="eastAsia" w:ascii="仿宋" w:hAnsi="仿宋" w:eastAsia="仿宋"/>
          <w:color w:val="auto"/>
          <w:sz w:val="32"/>
          <w:szCs w:val="32"/>
        </w:rPr>
        <w:t>。</w:t>
      </w:r>
    </w:p>
    <w:p>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161.01</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154.37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6.65</w:t>
      </w:r>
      <w:r>
        <w:rPr>
          <w:rFonts w:hint="eastAsia" w:ascii="仿宋" w:hAnsi="仿宋" w:eastAsia="仿宋"/>
          <w:sz w:val="32"/>
          <w:szCs w:val="32"/>
        </w:rPr>
        <w:t>万元，主要包括：办公费、印刷费、水费、电费、邮电费、取暖费、差旅费、会议费、公务接待费、工会经费、公务用车运行维护费等。</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lang w:eastAsia="zh-CN"/>
        </w:rPr>
        <w:t>2023</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w:t>
      </w:r>
    </w:p>
    <w:p>
      <w:pPr>
        <w:pStyle w:val="10"/>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2023</w:t>
      </w:r>
      <w:r>
        <w:rPr>
          <w:rFonts w:hint="eastAsia" w:ascii="楷体" w:hAnsi="楷体" w:eastAsia="楷体" w:cs="楷体"/>
          <w:sz w:val="32"/>
          <w:szCs w:val="32"/>
        </w:rPr>
        <w:t>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10"/>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2023</w:t>
      </w:r>
      <w:r>
        <w:rPr>
          <w:rFonts w:hint="eastAsia" w:ascii="楷体" w:hAnsi="楷体" w:eastAsia="楷体" w:cs="楷体"/>
          <w:sz w:val="32"/>
          <w:szCs w:val="32"/>
        </w:rPr>
        <w:t>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color w:val="auto"/>
          <w:sz w:val="32"/>
          <w:szCs w:val="32"/>
        </w:rPr>
      </w:pPr>
      <w:r>
        <w:rPr>
          <w:rFonts w:hint="eastAsia" w:ascii="楷体" w:hAnsi="楷体" w:eastAsia="楷体" w:cs="楷体"/>
          <w:color w:val="auto"/>
          <w:sz w:val="32"/>
          <w:szCs w:val="32"/>
        </w:rPr>
        <w:t>（一）机关运行经费</w:t>
      </w:r>
    </w:p>
    <w:p>
      <w:pPr>
        <w:pStyle w:val="9"/>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eastAsia="zh-CN"/>
        </w:rPr>
        <w:t>2023</w:t>
      </w:r>
      <w:r>
        <w:rPr>
          <w:rFonts w:hint="eastAsia" w:ascii="仿宋" w:hAnsi="仿宋" w:eastAsia="仿宋"/>
          <w:color w:val="auto"/>
          <w:sz w:val="32"/>
          <w:szCs w:val="32"/>
        </w:rPr>
        <w:t>年1家事业单位的机关运行经费财政拨款预算</w:t>
      </w:r>
      <w:r>
        <w:rPr>
          <w:rFonts w:hint="eastAsia" w:ascii="仿宋" w:hAnsi="仿宋" w:eastAsia="仿宋"/>
          <w:color w:val="auto"/>
          <w:sz w:val="32"/>
          <w:szCs w:val="32"/>
          <w:lang w:val="en-US" w:eastAsia="zh-CN"/>
        </w:rPr>
        <w:t>6.65</w:t>
      </w:r>
      <w:r>
        <w:rPr>
          <w:rFonts w:hint="eastAsia" w:ascii="仿宋" w:hAnsi="仿宋" w:eastAsia="仿宋"/>
          <w:color w:val="auto"/>
          <w:sz w:val="32"/>
          <w:szCs w:val="32"/>
        </w:rPr>
        <w:t xml:space="preserve">万元，比 </w:t>
      </w:r>
      <w:r>
        <w:rPr>
          <w:rFonts w:hint="eastAsia" w:ascii="仿宋" w:hAnsi="仿宋" w:eastAsia="仿宋"/>
          <w:color w:val="auto"/>
          <w:sz w:val="32"/>
          <w:szCs w:val="32"/>
          <w:lang w:eastAsia="zh-CN"/>
        </w:rPr>
        <w:t>2022</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减少2.78</w:t>
      </w:r>
      <w:r>
        <w:rPr>
          <w:rFonts w:hint="eastAsia" w:ascii="仿宋" w:hAnsi="仿宋" w:eastAsia="仿宋"/>
          <w:color w:val="auto"/>
          <w:sz w:val="32"/>
          <w:szCs w:val="32"/>
        </w:rPr>
        <w:t>万元</w:t>
      </w:r>
      <w:r>
        <w:rPr>
          <w:rFonts w:hint="eastAsia" w:ascii="仿宋" w:hAnsi="仿宋" w:eastAsia="仿宋"/>
          <w:color w:val="auto"/>
          <w:sz w:val="32"/>
          <w:szCs w:val="32"/>
          <w:lang w:eastAsia="zh-CN"/>
        </w:rPr>
        <w:t>。主要原因是今年</w:t>
      </w:r>
      <w:r>
        <w:rPr>
          <w:rFonts w:hint="eastAsia" w:ascii="仿宋" w:hAnsi="仿宋" w:eastAsia="仿宋"/>
          <w:color w:val="auto"/>
          <w:sz w:val="32"/>
          <w:szCs w:val="32"/>
          <w:lang w:val="en-US" w:eastAsia="zh-CN"/>
        </w:rPr>
        <w:t>退休一人，调出六人</w:t>
      </w:r>
      <w:r>
        <w:rPr>
          <w:rFonts w:hint="eastAsia" w:ascii="仿宋" w:hAnsi="仿宋" w:eastAsia="仿宋"/>
          <w:color w:val="auto"/>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color w:val="auto"/>
          <w:sz w:val="32"/>
          <w:szCs w:val="32"/>
        </w:rPr>
      </w:pPr>
      <w:r>
        <w:rPr>
          <w:rFonts w:hint="eastAsia" w:ascii="仿宋" w:hAnsi="仿宋" w:eastAsia="仿宋"/>
          <w:color w:val="auto"/>
          <w:sz w:val="32"/>
          <w:szCs w:val="32"/>
          <w:lang w:eastAsia="zh-CN"/>
        </w:rPr>
        <w:t>2023</w:t>
      </w:r>
      <w:r>
        <w:rPr>
          <w:rFonts w:hint="eastAsia" w:ascii="仿宋" w:hAnsi="仿宋" w:eastAsia="仿宋"/>
          <w:color w:val="auto"/>
          <w:sz w:val="32"/>
          <w:szCs w:val="32"/>
        </w:rPr>
        <w:t>年政府采购预算总额</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万元，其中：政府采购办公设备和其他设备预算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万元，政府采购工程预算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万元，政府采购服务预算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w:t>
      </w:r>
      <w:r>
        <w:rPr>
          <w:rFonts w:hint="eastAsia" w:ascii="仿宋" w:hAnsi="仿宋" w:eastAsia="仿宋"/>
          <w:sz w:val="32"/>
          <w:szCs w:val="32"/>
          <w:lang w:eastAsia="zh-CN"/>
        </w:rPr>
        <w:t>2022</w:t>
      </w:r>
      <w:r>
        <w:rPr>
          <w:rFonts w:hint="eastAsia" w:ascii="仿宋" w:hAnsi="仿宋" w:eastAsia="仿宋"/>
          <w:sz w:val="32"/>
          <w:szCs w:val="32"/>
        </w:rPr>
        <w:t>年12月，本单位共有车辆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hint="eastAsia" w:ascii="仿宋" w:hAnsi="仿宋" w:eastAsia="仿宋"/>
          <w:sz w:val="32"/>
          <w:szCs w:val="32"/>
          <w:lang w:val="en-US"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本单位无预算项目。</w:t>
      </w:r>
    </w:p>
    <w:p>
      <w:pPr>
        <w:jc w:val="both"/>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年单位预算表套表（预算一体化系统报表查询模块中提取相应数据）.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注意：公开的表格中如果是空表也需要保留。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3F26C4"/>
    <w:rsid w:val="004176EB"/>
    <w:rsid w:val="0043592C"/>
    <w:rsid w:val="004763A7"/>
    <w:rsid w:val="00482664"/>
    <w:rsid w:val="004C1015"/>
    <w:rsid w:val="005425F1"/>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B0B23"/>
    <w:rsid w:val="009C3948"/>
    <w:rsid w:val="009E4C36"/>
    <w:rsid w:val="00A12A00"/>
    <w:rsid w:val="00A26ED1"/>
    <w:rsid w:val="00A31D89"/>
    <w:rsid w:val="00A3789D"/>
    <w:rsid w:val="00A64FF7"/>
    <w:rsid w:val="00A73987"/>
    <w:rsid w:val="00A752E3"/>
    <w:rsid w:val="00AE2415"/>
    <w:rsid w:val="00AE2F02"/>
    <w:rsid w:val="00AF32ED"/>
    <w:rsid w:val="00B03AD0"/>
    <w:rsid w:val="00B2091C"/>
    <w:rsid w:val="00B25450"/>
    <w:rsid w:val="00B27940"/>
    <w:rsid w:val="00B36C0B"/>
    <w:rsid w:val="00B62C43"/>
    <w:rsid w:val="00B74A8E"/>
    <w:rsid w:val="00C37526"/>
    <w:rsid w:val="00C61D37"/>
    <w:rsid w:val="00CB2087"/>
    <w:rsid w:val="00CC2C0E"/>
    <w:rsid w:val="00CE6FE2"/>
    <w:rsid w:val="00CF7FF2"/>
    <w:rsid w:val="00D016D2"/>
    <w:rsid w:val="00D463CF"/>
    <w:rsid w:val="00D54CC0"/>
    <w:rsid w:val="00DA5EFE"/>
    <w:rsid w:val="00DC6B72"/>
    <w:rsid w:val="00DF38C6"/>
    <w:rsid w:val="00E168F9"/>
    <w:rsid w:val="00E20B1E"/>
    <w:rsid w:val="00E343EE"/>
    <w:rsid w:val="00E53AE6"/>
    <w:rsid w:val="00ED0CE4"/>
    <w:rsid w:val="00F30AB2"/>
    <w:rsid w:val="00F325F5"/>
    <w:rsid w:val="00F51569"/>
    <w:rsid w:val="00FD1DC5"/>
    <w:rsid w:val="01640BD1"/>
    <w:rsid w:val="018E6F43"/>
    <w:rsid w:val="01EC1B1D"/>
    <w:rsid w:val="02E94D64"/>
    <w:rsid w:val="033D7EE7"/>
    <w:rsid w:val="034968DF"/>
    <w:rsid w:val="03D7309C"/>
    <w:rsid w:val="03F248D4"/>
    <w:rsid w:val="06476E33"/>
    <w:rsid w:val="07C71E05"/>
    <w:rsid w:val="08071166"/>
    <w:rsid w:val="0A450E4E"/>
    <w:rsid w:val="0A7F599D"/>
    <w:rsid w:val="0B4115AF"/>
    <w:rsid w:val="0B5304DC"/>
    <w:rsid w:val="0C633590"/>
    <w:rsid w:val="0C7C5D37"/>
    <w:rsid w:val="0D0F40E1"/>
    <w:rsid w:val="0DAE4EA0"/>
    <w:rsid w:val="0E0E4A27"/>
    <w:rsid w:val="0E235FAD"/>
    <w:rsid w:val="0E933B6E"/>
    <w:rsid w:val="0EAA0ABC"/>
    <w:rsid w:val="0F4C4086"/>
    <w:rsid w:val="10D9450A"/>
    <w:rsid w:val="112B3A0C"/>
    <w:rsid w:val="11DF6BD5"/>
    <w:rsid w:val="12C62CA4"/>
    <w:rsid w:val="15DA5399"/>
    <w:rsid w:val="16E82A20"/>
    <w:rsid w:val="187E3884"/>
    <w:rsid w:val="18F97B94"/>
    <w:rsid w:val="191A0446"/>
    <w:rsid w:val="1B4A363A"/>
    <w:rsid w:val="1BC526EF"/>
    <w:rsid w:val="1C882350"/>
    <w:rsid w:val="1CDC1A5B"/>
    <w:rsid w:val="1F2B4BF2"/>
    <w:rsid w:val="1F451F7A"/>
    <w:rsid w:val="20EF71F1"/>
    <w:rsid w:val="21246548"/>
    <w:rsid w:val="2323212D"/>
    <w:rsid w:val="2527010D"/>
    <w:rsid w:val="26D42F1E"/>
    <w:rsid w:val="26DC2BFA"/>
    <w:rsid w:val="27063D31"/>
    <w:rsid w:val="27742DDB"/>
    <w:rsid w:val="27747EDE"/>
    <w:rsid w:val="277B13CF"/>
    <w:rsid w:val="285B5D80"/>
    <w:rsid w:val="28753BF0"/>
    <w:rsid w:val="289F10F6"/>
    <w:rsid w:val="28AA47B7"/>
    <w:rsid w:val="28CB641B"/>
    <w:rsid w:val="29207EE3"/>
    <w:rsid w:val="2AC832F5"/>
    <w:rsid w:val="2D742D12"/>
    <w:rsid w:val="2E3342C6"/>
    <w:rsid w:val="2E972F25"/>
    <w:rsid w:val="31473096"/>
    <w:rsid w:val="344D4C9B"/>
    <w:rsid w:val="35855633"/>
    <w:rsid w:val="36273D08"/>
    <w:rsid w:val="37361A0B"/>
    <w:rsid w:val="37D62945"/>
    <w:rsid w:val="38253B59"/>
    <w:rsid w:val="385B501F"/>
    <w:rsid w:val="38DE30B8"/>
    <w:rsid w:val="39284901"/>
    <w:rsid w:val="3A915046"/>
    <w:rsid w:val="3C4C15D1"/>
    <w:rsid w:val="3CEA5A8A"/>
    <w:rsid w:val="3D897F97"/>
    <w:rsid w:val="3DA7578C"/>
    <w:rsid w:val="3F597259"/>
    <w:rsid w:val="3F6B774D"/>
    <w:rsid w:val="41D367B8"/>
    <w:rsid w:val="430260DD"/>
    <w:rsid w:val="442476FC"/>
    <w:rsid w:val="454D6A0D"/>
    <w:rsid w:val="46C17DAD"/>
    <w:rsid w:val="475B1D47"/>
    <w:rsid w:val="491B7B4E"/>
    <w:rsid w:val="49B81F53"/>
    <w:rsid w:val="4AAC7860"/>
    <w:rsid w:val="4B3B5730"/>
    <w:rsid w:val="4D0265B8"/>
    <w:rsid w:val="4D8021B9"/>
    <w:rsid w:val="4EB752BA"/>
    <w:rsid w:val="4ED6365B"/>
    <w:rsid w:val="4F735000"/>
    <w:rsid w:val="50F75E7E"/>
    <w:rsid w:val="51436F0F"/>
    <w:rsid w:val="51BB428B"/>
    <w:rsid w:val="52CC5B5E"/>
    <w:rsid w:val="52DF1D28"/>
    <w:rsid w:val="53A4083B"/>
    <w:rsid w:val="54923E8D"/>
    <w:rsid w:val="54941844"/>
    <w:rsid w:val="5538455E"/>
    <w:rsid w:val="567F658B"/>
    <w:rsid w:val="56A94595"/>
    <w:rsid w:val="580A299B"/>
    <w:rsid w:val="5A6D1918"/>
    <w:rsid w:val="5B5D76B7"/>
    <w:rsid w:val="5B8E44C5"/>
    <w:rsid w:val="5C982767"/>
    <w:rsid w:val="5CD80EBE"/>
    <w:rsid w:val="5CFA751D"/>
    <w:rsid w:val="5DB8541C"/>
    <w:rsid w:val="5E221344"/>
    <w:rsid w:val="5E32788E"/>
    <w:rsid w:val="5FB128C2"/>
    <w:rsid w:val="60731B65"/>
    <w:rsid w:val="60D72763"/>
    <w:rsid w:val="61467789"/>
    <w:rsid w:val="61525EF8"/>
    <w:rsid w:val="62B666A5"/>
    <w:rsid w:val="62E15FE9"/>
    <w:rsid w:val="65255B39"/>
    <w:rsid w:val="659C7B1A"/>
    <w:rsid w:val="65E847CC"/>
    <w:rsid w:val="66372F33"/>
    <w:rsid w:val="664F75D3"/>
    <w:rsid w:val="67286561"/>
    <w:rsid w:val="67D83386"/>
    <w:rsid w:val="691F508E"/>
    <w:rsid w:val="6A340295"/>
    <w:rsid w:val="6A5666B8"/>
    <w:rsid w:val="6C626D3D"/>
    <w:rsid w:val="6DF0400D"/>
    <w:rsid w:val="6E5B22F8"/>
    <w:rsid w:val="7065603B"/>
    <w:rsid w:val="70691691"/>
    <w:rsid w:val="70EF2762"/>
    <w:rsid w:val="71201EF9"/>
    <w:rsid w:val="716F5053"/>
    <w:rsid w:val="7271646B"/>
    <w:rsid w:val="729E55FD"/>
    <w:rsid w:val="73FA7C77"/>
    <w:rsid w:val="744F0BEE"/>
    <w:rsid w:val="74A55A8E"/>
    <w:rsid w:val="7539654A"/>
    <w:rsid w:val="75836739"/>
    <w:rsid w:val="76C753DE"/>
    <w:rsid w:val="76C775D8"/>
    <w:rsid w:val="77FC6956"/>
    <w:rsid w:val="7A64282A"/>
    <w:rsid w:val="7A8D6ADA"/>
    <w:rsid w:val="7ADD6FA6"/>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99"/>
    <w:pPr>
      <w:jc w:val="center"/>
      <w:outlineLvl w:val="0"/>
    </w:pPr>
    <w:rPr>
      <w:rFonts w:ascii="Arial" w:hAnsi="Arial" w:cs="Arial"/>
      <w:b/>
      <w:bCs/>
      <w:sz w:val="32"/>
      <w:szCs w:val="32"/>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2774</Words>
  <Characters>3040</Characters>
  <Lines>23</Lines>
  <Paragraphs>6</Paragraphs>
  <TotalTime>9</TotalTime>
  <ScaleCrop>false</ScaleCrop>
  <LinksUpToDate>false</LinksUpToDate>
  <CharactersWithSpaces>3120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cp:lastPrinted>2023-01-11T12:14:13Z</cp:lastPrinted>
  <dcterms:modified xsi:type="dcterms:W3CDTF">2023-01-11T12:19:22Z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ABA4DFA52C7147559076E67B103B84DC</vt:lpwstr>
  </property>
</Properties>
</file>