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40"/>
        <w:ind w:right="0" w:left="0" w:firstLine="0"/>
        <w:jc w:val="center"/>
        <w:rPr>
          <w:rFonts w:ascii="黑体" w:hAnsi="黑体" w:cs="黑体" w:eastAsia="黑体"/>
          <w:color w:val="auto"/>
          <w:spacing w:val="0"/>
          <w:position w:val="0"/>
          <w:sz w:val="44"/>
          <w:shd w:fill="auto" w:val="clear"/>
        </w:rPr>
      </w:pPr>
    </w:p>
    <w:p>
      <w:pPr>
        <w:spacing w:before="0" w:after="0" w:line="240"/>
        <w:ind w:right="0" w:left="0" w:firstLine="0"/>
        <w:jc w:val="center"/>
        <w:rPr>
          <w:rFonts w:ascii="黑体" w:hAnsi="黑体" w:cs="黑体" w:eastAsia="黑体"/>
          <w:color w:val="auto"/>
          <w:spacing w:val="0"/>
          <w:position w:val="0"/>
          <w:sz w:val="44"/>
          <w:shd w:fill="auto" w:val="clear"/>
        </w:rPr>
      </w:pPr>
    </w:p>
    <w:p>
      <w:pPr>
        <w:spacing w:before="0" w:after="0" w:line="240"/>
        <w:ind w:right="0" w:left="0" w:firstLine="0"/>
        <w:jc w:val="center"/>
        <w:rPr>
          <w:rFonts w:ascii="黑体" w:hAnsi="黑体" w:cs="黑体" w:eastAsia="黑体"/>
          <w:color w:val="auto"/>
          <w:spacing w:val="0"/>
          <w:position w:val="0"/>
          <w:sz w:val="44"/>
          <w:shd w:fill="auto" w:val="clear"/>
        </w:rPr>
      </w:pPr>
    </w:p>
    <w:p>
      <w:pPr>
        <w:spacing w:before="0" w:after="0" w:line="240"/>
        <w:ind w:right="0" w:left="0" w:firstLine="0"/>
        <w:jc w:val="center"/>
        <w:rPr>
          <w:rFonts w:ascii="黑体" w:hAnsi="黑体" w:cs="黑体" w:eastAsia="黑体"/>
          <w:color w:val="auto"/>
          <w:spacing w:val="0"/>
          <w:position w:val="0"/>
          <w:sz w:val="44"/>
          <w:shd w:fill="auto" w:val="clear"/>
        </w:rPr>
      </w:pPr>
    </w:p>
    <w:p>
      <w:pPr>
        <w:spacing w:before="0" w:after="0" w:line="240"/>
        <w:ind w:right="0" w:left="0" w:firstLine="0"/>
        <w:jc w:val="center"/>
        <w:rPr>
          <w:rFonts w:ascii="黑体" w:hAnsi="黑体" w:cs="黑体" w:eastAsia="黑体"/>
          <w:color w:val="auto"/>
          <w:spacing w:val="0"/>
          <w:position w:val="0"/>
          <w:sz w:val="44"/>
          <w:shd w:fill="auto" w:val="clear"/>
        </w:rPr>
      </w:pPr>
    </w:p>
    <w:p>
      <w:pPr>
        <w:spacing w:before="0" w:after="0" w:line="240"/>
        <w:ind w:right="0" w:left="0" w:firstLine="0"/>
        <w:jc w:val="center"/>
        <w:rPr>
          <w:rFonts w:ascii="黑体" w:hAnsi="黑体" w:cs="黑体" w:eastAsia="黑体"/>
          <w:color w:val="auto"/>
          <w:spacing w:val="0"/>
          <w:position w:val="0"/>
          <w:sz w:val="52"/>
          <w:shd w:fill="auto" w:val="clear"/>
        </w:rPr>
      </w:pPr>
      <w:r>
        <w:rPr>
          <w:rFonts w:ascii="黑体" w:hAnsi="黑体" w:cs="黑体" w:eastAsia="黑体"/>
          <w:color w:val="auto"/>
          <w:spacing w:val="0"/>
          <w:position w:val="0"/>
          <w:sz w:val="52"/>
          <w:shd w:fill="auto" w:val="clear"/>
        </w:rPr>
        <w:t xml:space="preserve">蛟河市教育技术装备中心</w:t>
      </w:r>
    </w:p>
    <w:p>
      <w:pPr>
        <w:spacing w:before="0" w:after="0" w:line="240"/>
        <w:ind w:right="0" w:left="0" w:firstLine="0"/>
        <w:jc w:val="center"/>
        <w:rPr>
          <w:rFonts w:ascii="黑体" w:hAnsi="黑体" w:cs="黑体" w:eastAsia="黑体"/>
          <w:color w:val="auto"/>
          <w:spacing w:val="0"/>
          <w:position w:val="0"/>
          <w:sz w:val="52"/>
          <w:shd w:fill="auto" w:val="clear"/>
        </w:rPr>
      </w:pPr>
      <w:r>
        <w:rPr>
          <w:rFonts w:ascii="黑体" w:hAnsi="黑体" w:cs="黑体" w:eastAsia="黑体"/>
          <w:color w:val="auto"/>
          <w:spacing w:val="0"/>
          <w:position w:val="0"/>
          <w:sz w:val="52"/>
          <w:shd w:fill="auto" w:val="clear"/>
        </w:rPr>
        <w:t xml:space="preserve">2023年部门预算</w:t>
      </w:r>
    </w:p>
    <w:p>
      <w:pPr>
        <w:spacing w:before="0" w:after="0" w:line="240"/>
        <w:ind w:right="0" w:left="0" w:firstLine="0"/>
        <w:jc w:val="center"/>
        <w:rPr>
          <w:rFonts w:ascii="黑体" w:hAnsi="黑体" w:cs="黑体" w:eastAsia="黑体"/>
          <w:color w:val="auto"/>
          <w:spacing w:val="0"/>
          <w:position w:val="0"/>
          <w:sz w:val="44"/>
          <w:shd w:fill="auto" w:val="clear"/>
        </w:rPr>
      </w:pPr>
    </w:p>
    <w:p>
      <w:pPr>
        <w:spacing w:before="0" w:after="0" w:line="240"/>
        <w:ind w:right="0" w:left="0" w:firstLine="0"/>
        <w:jc w:val="center"/>
        <w:rPr>
          <w:rFonts w:ascii="黑体" w:hAnsi="黑体" w:cs="黑体" w:eastAsia="黑体"/>
          <w:color w:val="auto"/>
          <w:spacing w:val="0"/>
          <w:position w:val="0"/>
          <w:sz w:val="44"/>
          <w:shd w:fill="auto" w:val="clear"/>
        </w:rPr>
      </w:pPr>
    </w:p>
    <w:p>
      <w:pPr>
        <w:spacing w:before="0" w:after="0" w:line="240"/>
        <w:ind w:right="0" w:left="0" w:firstLine="0"/>
        <w:jc w:val="center"/>
        <w:rPr>
          <w:rFonts w:ascii="黑体" w:hAnsi="黑体" w:cs="黑体" w:eastAsia="黑体"/>
          <w:color w:val="auto"/>
          <w:spacing w:val="0"/>
          <w:position w:val="0"/>
          <w:sz w:val="44"/>
          <w:shd w:fill="auto" w:val="clear"/>
        </w:rPr>
      </w:pPr>
    </w:p>
    <w:p>
      <w:pPr>
        <w:spacing w:before="0" w:after="0" w:line="240"/>
        <w:ind w:right="0" w:left="0" w:firstLine="0"/>
        <w:jc w:val="center"/>
        <w:rPr>
          <w:rFonts w:ascii="黑体" w:hAnsi="黑体" w:cs="黑体" w:eastAsia="黑体"/>
          <w:color w:val="auto"/>
          <w:spacing w:val="0"/>
          <w:position w:val="0"/>
          <w:sz w:val="44"/>
          <w:shd w:fill="auto" w:val="clear"/>
        </w:rPr>
      </w:pPr>
    </w:p>
    <w:p>
      <w:pPr>
        <w:spacing w:before="0" w:after="0" w:line="240"/>
        <w:ind w:right="0" w:left="0" w:firstLine="0"/>
        <w:jc w:val="center"/>
        <w:rPr>
          <w:rFonts w:ascii="黑体" w:hAnsi="黑体" w:cs="黑体" w:eastAsia="黑体"/>
          <w:color w:val="auto"/>
          <w:spacing w:val="0"/>
          <w:position w:val="0"/>
          <w:sz w:val="44"/>
          <w:shd w:fill="auto" w:val="clear"/>
        </w:rPr>
      </w:pPr>
    </w:p>
    <w:p>
      <w:pPr>
        <w:spacing w:before="0" w:after="0" w:line="240"/>
        <w:ind w:right="0" w:left="0" w:firstLine="0"/>
        <w:jc w:val="center"/>
        <w:rPr>
          <w:rFonts w:ascii="黑体" w:hAnsi="黑体" w:cs="黑体" w:eastAsia="黑体"/>
          <w:color w:val="auto"/>
          <w:spacing w:val="0"/>
          <w:position w:val="0"/>
          <w:sz w:val="44"/>
          <w:shd w:fill="auto" w:val="clear"/>
        </w:rPr>
      </w:pPr>
    </w:p>
    <w:p>
      <w:pPr>
        <w:spacing w:before="0" w:after="0" w:line="240"/>
        <w:ind w:right="0" w:left="0" w:firstLine="0"/>
        <w:jc w:val="center"/>
        <w:rPr>
          <w:rFonts w:ascii="黑体" w:hAnsi="黑体" w:cs="黑体" w:eastAsia="黑体"/>
          <w:color w:val="auto"/>
          <w:spacing w:val="0"/>
          <w:position w:val="0"/>
          <w:sz w:val="44"/>
          <w:shd w:fill="auto" w:val="clear"/>
        </w:rPr>
      </w:pPr>
    </w:p>
    <w:p>
      <w:pPr>
        <w:spacing w:before="0" w:after="0" w:line="240"/>
        <w:ind w:right="0" w:left="0" w:firstLine="0"/>
        <w:jc w:val="center"/>
        <w:rPr>
          <w:rFonts w:ascii="黑体" w:hAnsi="黑体" w:cs="黑体" w:eastAsia="黑体"/>
          <w:color w:val="auto"/>
          <w:spacing w:val="0"/>
          <w:position w:val="0"/>
          <w:sz w:val="44"/>
          <w:shd w:fill="auto" w:val="clear"/>
        </w:rPr>
      </w:pPr>
    </w:p>
    <w:p>
      <w:pPr>
        <w:spacing w:before="0" w:after="0" w:line="240"/>
        <w:ind w:right="0" w:left="0" w:firstLine="0"/>
        <w:jc w:val="center"/>
        <w:rPr>
          <w:rFonts w:ascii="黑体" w:hAnsi="黑体" w:cs="黑体" w:eastAsia="黑体"/>
          <w:color w:val="auto"/>
          <w:spacing w:val="0"/>
          <w:position w:val="0"/>
          <w:sz w:val="44"/>
          <w:shd w:fill="auto" w:val="clear"/>
        </w:rPr>
      </w:pPr>
    </w:p>
    <w:p>
      <w:pPr>
        <w:spacing w:before="0" w:after="0" w:line="240"/>
        <w:ind w:right="0" w:left="0" w:firstLine="0"/>
        <w:jc w:val="center"/>
        <w:rPr>
          <w:rFonts w:ascii="黑体" w:hAnsi="黑体" w:cs="黑体" w:eastAsia="黑体"/>
          <w:color w:val="auto"/>
          <w:spacing w:val="0"/>
          <w:position w:val="0"/>
          <w:sz w:val="44"/>
          <w:shd w:fill="auto" w:val="clear"/>
        </w:rPr>
      </w:pPr>
    </w:p>
    <w:p>
      <w:pPr>
        <w:spacing w:before="0" w:after="0" w:line="240"/>
        <w:ind w:right="0" w:left="0" w:firstLine="0"/>
        <w:jc w:val="center"/>
        <w:rPr>
          <w:rFonts w:ascii="黑体" w:hAnsi="黑体" w:cs="黑体" w:eastAsia="黑体"/>
          <w:color w:val="auto"/>
          <w:spacing w:val="0"/>
          <w:position w:val="0"/>
          <w:sz w:val="44"/>
          <w:shd w:fill="auto" w:val="clear"/>
        </w:rPr>
      </w:pPr>
      <w:r>
        <w:rPr>
          <w:rFonts w:ascii="黑体" w:hAnsi="黑体" w:cs="黑体" w:eastAsia="黑体"/>
          <w:color w:val="auto"/>
          <w:spacing w:val="0"/>
          <w:position w:val="0"/>
          <w:sz w:val="44"/>
          <w:shd w:fill="auto" w:val="clear"/>
        </w:rPr>
        <w:t xml:space="preserve">二〇二三年一月十一日</w:t>
      </w:r>
    </w:p>
    <w:p>
      <w:pPr>
        <w:spacing w:before="0" w:after="0" w:line="240"/>
        <w:ind w:right="0" w:left="0" w:firstLine="0"/>
        <w:jc w:val="center"/>
        <w:rPr>
          <w:rFonts w:ascii="黑体" w:hAnsi="黑体" w:cs="黑体" w:eastAsia="黑体"/>
          <w:color w:val="auto"/>
          <w:spacing w:val="0"/>
          <w:position w:val="0"/>
          <w:sz w:val="44"/>
          <w:shd w:fill="auto" w:val="clear"/>
        </w:rPr>
      </w:pPr>
    </w:p>
    <w:p>
      <w:pPr>
        <w:spacing w:before="0" w:after="0" w:line="240"/>
        <w:ind w:right="0" w:left="0" w:firstLine="0"/>
        <w:jc w:val="center"/>
        <w:rPr>
          <w:rFonts w:ascii="黑体" w:hAnsi="黑体" w:cs="黑体" w:eastAsia="黑体"/>
          <w:color w:val="auto"/>
          <w:spacing w:val="0"/>
          <w:position w:val="0"/>
          <w:sz w:val="44"/>
          <w:shd w:fill="auto" w:val="clear"/>
        </w:rPr>
      </w:pPr>
    </w:p>
    <w:p>
      <w:pPr>
        <w:spacing w:before="0" w:after="0" w:line="240"/>
        <w:ind w:right="0" w:left="0" w:firstLine="0"/>
        <w:jc w:val="center"/>
        <w:rPr>
          <w:rFonts w:ascii="黑体" w:hAnsi="黑体" w:cs="黑体" w:eastAsia="黑体"/>
          <w:color w:val="auto"/>
          <w:spacing w:val="0"/>
          <w:position w:val="0"/>
          <w:sz w:val="44"/>
          <w:shd w:fill="auto" w:val="clear"/>
        </w:rPr>
      </w:pPr>
    </w:p>
    <w:p>
      <w:pPr>
        <w:spacing w:before="0" w:after="0" w:line="240"/>
        <w:ind w:right="0" w:left="0" w:firstLine="0"/>
        <w:jc w:val="center"/>
        <w:rPr>
          <w:rFonts w:ascii="黑体" w:hAnsi="黑体" w:cs="黑体" w:eastAsia="黑体"/>
          <w:color w:val="auto"/>
          <w:spacing w:val="0"/>
          <w:position w:val="0"/>
          <w:sz w:val="44"/>
          <w:shd w:fill="auto" w:val="clear"/>
        </w:rPr>
      </w:pPr>
    </w:p>
    <w:p>
      <w:pPr>
        <w:spacing w:before="0" w:after="0" w:line="240"/>
        <w:ind w:right="0" w:left="0" w:firstLine="0"/>
        <w:jc w:val="center"/>
        <w:rPr>
          <w:rFonts w:ascii="黑体" w:hAnsi="黑体" w:cs="黑体" w:eastAsia="黑体"/>
          <w:color w:val="auto"/>
          <w:spacing w:val="0"/>
          <w:position w:val="0"/>
          <w:sz w:val="44"/>
          <w:shd w:fill="auto" w:val="clear"/>
        </w:rPr>
      </w:pPr>
    </w:p>
    <w:p>
      <w:pPr>
        <w:spacing w:before="0" w:after="0" w:line="240"/>
        <w:ind w:right="0" w:left="0" w:firstLine="0"/>
        <w:jc w:val="center"/>
        <w:rPr>
          <w:rFonts w:ascii="黑体" w:hAnsi="黑体" w:cs="黑体" w:eastAsia="黑体"/>
          <w:color w:val="auto"/>
          <w:spacing w:val="0"/>
          <w:position w:val="0"/>
          <w:sz w:val="44"/>
          <w:shd w:fill="auto" w:val="clear"/>
        </w:rPr>
      </w:pPr>
    </w:p>
    <w:p>
      <w:pPr>
        <w:spacing w:before="0" w:after="0" w:line="240"/>
        <w:ind w:right="0" w:left="0" w:firstLine="0"/>
        <w:jc w:val="center"/>
        <w:rPr>
          <w:rFonts w:ascii="黑体" w:hAnsi="黑体" w:cs="黑体" w:eastAsia="黑体"/>
          <w:color w:val="auto"/>
          <w:spacing w:val="0"/>
          <w:position w:val="0"/>
          <w:sz w:val="44"/>
          <w:shd w:fill="auto" w:val="clear"/>
        </w:rPr>
      </w:pPr>
      <w:r>
        <w:rPr>
          <w:rFonts w:ascii="黑体" w:hAnsi="黑体" w:cs="黑体" w:eastAsia="黑体"/>
          <w:color w:val="auto"/>
          <w:spacing w:val="0"/>
          <w:position w:val="0"/>
          <w:sz w:val="44"/>
          <w:shd w:fill="auto" w:val="clear"/>
        </w:rPr>
        <w:t xml:space="preserve">蛟河市教育技术装备中心2023年预算</w:t>
      </w:r>
    </w:p>
    <w:p>
      <w:pPr>
        <w:tabs>
          <w:tab w:val="left" w:pos="3240" w:leader="none"/>
        </w:tabs>
        <w:spacing w:before="0" w:after="0" w:line="240"/>
        <w:ind w:right="0" w:left="0" w:firstLine="0"/>
        <w:jc w:val="both"/>
        <w:rPr>
          <w:rFonts w:ascii="黑体" w:hAnsi="黑体" w:cs="黑体" w:eastAsia="黑体"/>
          <w:color w:val="auto"/>
          <w:spacing w:val="0"/>
          <w:position w:val="0"/>
          <w:sz w:val="44"/>
          <w:shd w:fill="auto" w:val="clear"/>
        </w:rPr>
      </w:pPr>
      <w:r>
        <w:rPr>
          <w:rFonts w:ascii="黑体" w:hAnsi="黑体" w:cs="黑体" w:eastAsia="黑体"/>
          <w:color w:val="auto"/>
          <w:spacing w:val="0"/>
          <w:position w:val="0"/>
          <w:sz w:val="44"/>
          <w:shd w:fill="auto" w:val="clear"/>
        </w:rPr>
        <w:tab/>
        <w:t xml:space="preserve">目  录</w:t>
      </w:r>
    </w:p>
    <w:p>
      <w:pPr>
        <w:spacing w:before="0" w:after="0" w:line="240"/>
        <w:ind w:right="0" w:left="0" w:firstLine="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第一部分  部门概况</w:t>
      </w:r>
    </w:p>
    <w:p>
      <w:pPr>
        <w:numPr>
          <w:ilvl w:val="0"/>
          <w:numId w:val="4"/>
        </w:numPr>
        <w:spacing w:before="0" w:after="0" w:line="240"/>
        <w:ind w:right="0" w:left="987" w:hanging="42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主要职能</w:t>
      </w:r>
    </w:p>
    <w:p>
      <w:pPr>
        <w:numPr>
          <w:ilvl w:val="0"/>
          <w:numId w:val="4"/>
        </w:numPr>
        <w:spacing w:before="0" w:after="0" w:line="240"/>
        <w:ind w:right="0" w:left="987" w:hanging="42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机构设置</w:t>
      </w:r>
    </w:p>
    <w:p>
      <w:pPr>
        <w:spacing w:before="0" w:after="0" w:line="240"/>
        <w:ind w:right="0" w:left="0" w:firstLine="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第二部分  情况说明</w:t>
      </w:r>
    </w:p>
    <w:p>
      <w:pPr>
        <w:spacing w:before="0" w:after="0" w:line="240"/>
        <w:ind w:right="0" w:left="0" w:firstLine="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第三部分  名词解释 </w:t>
      </w:r>
    </w:p>
    <w:p>
      <w:pPr>
        <w:spacing w:before="0" w:after="0" w:line="240"/>
        <w:ind w:right="0" w:left="0" w:firstLine="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第四部分  预算表格</w:t>
      </w:r>
    </w:p>
    <w:p>
      <w:pPr>
        <w:numPr>
          <w:ilvl w:val="0"/>
          <w:numId w:val="6"/>
        </w:numPr>
        <w:spacing w:before="0" w:after="0" w:line="240"/>
        <w:ind w:right="0" w:left="1245" w:hanging="42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收支总表</w:t>
      </w:r>
    </w:p>
    <w:p>
      <w:pPr>
        <w:numPr>
          <w:ilvl w:val="0"/>
          <w:numId w:val="6"/>
        </w:numPr>
        <w:spacing w:before="0" w:after="0" w:line="240"/>
        <w:ind w:right="0" w:left="1245" w:hanging="42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收入总表</w:t>
      </w:r>
    </w:p>
    <w:p>
      <w:pPr>
        <w:numPr>
          <w:ilvl w:val="0"/>
          <w:numId w:val="6"/>
        </w:numPr>
        <w:spacing w:before="0" w:after="0" w:line="240"/>
        <w:ind w:right="0" w:left="1245" w:hanging="42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支出总表</w:t>
      </w:r>
    </w:p>
    <w:p>
      <w:pPr>
        <w:numPr>
          <w:ilvl w:val="0"/>
          <w:numId w:val="6"/>
        </w:numPr>
        <w:spacing w:before="0" w:after="0" w:line="240"/>
        <w:ind w:right="0" w:left="1245" w:hanging="42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财政拨款收支总表</w:t>
      </w:r>
    </w:p>
    <w:p>
      <w:pPr>
        <w:numPr>
          <w:ilvl w:val="0"/>
          <w:numId w:val="6"/>
        </w:numPr>
        <w:spacing w:before="0" w:after="0" w:line="240"/>
        <w:ind w:right="0" w:left="1245" w:hanging="42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一般公共预算支出表</w:t>
      </w:r>
    </w:p>
    <w:p>
      <w:pPr>
        <w:numPr>
          <w:ilvl w:val="0"/>
          <w:numId w:val="6"/>
        </w:numPr>
        <w:spacing w:before="0" w:after="0" w:line="240"/>
        <w:ind w:right="0" w:left="1245" w:hanging="42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一般公共预算财政拨款基本支出预算表</w:t>
      </w:r>
    </w:p>
    <w:p>
      <w:pPr>
        <w:numPr>
          <w:ilvl w:val="0"/>
          <w:numId w:val="6"/>
        </w:numPr>
        <w:spacing w:before="0" w:after="0" w:line="240"/>
        <w:ind w:right="0" w:left="1245" w:hanging="42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一般公共预算“三公”经费支出表</w:t>
      </w:r>
    </w:p>
    <w:p>
      <w:pPr>
        <w:numPr>
          <w:ilvl w:val="0"/>
          <w:numId w:val="6"/>
        </w:numPr>
        <w:spacing w:before="0" w:after="0" w:line="240"/>
        <w:ind w:right="0" w:left="1245" w:hanging="42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政府性基金预算支出表</w:t>
      </w:r>
    </w:p>
    <w:p>
      <w:pPr>
        <w:numPr>
          <w:ilvl w:val="0"/>
          <w:numId w:val="6"/>
        </w:numPr>
        <w:spacing w:before="0" w:after="0" w:line="240"/>
        <w:ind w:right="0" w:left="1245" w:hanging="42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国有资本经营预算支出表</w:t>
      </w:r>
    </w:p>
    <w:p>
      <w:pPr>
        <w:numPr>
          <w:ilvl w:val="0"/>
          <w:numId w:val="6"/>
        </w:numPr>
        <w:spacing w:before="0" w:after="0" w:line="240"/>
        <w:ind w:right="0" w:left="1245" w:hanging="42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项目支出表</w:t>
      </w:r>
    </w:p>
    <w:p>
      <w:pPr>
        <w:numPr>
          <w:ilvl w:val="0"/>
          <w:numId w:val="6"/>
        </w:numPr>
        <w:spacing w:before="0" w:after="0" w:line="240"/>
        <w:ind w:right="0" w:left="1245" w:hanging="42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项目支出绩效目标表</w:t>
      </w:r>
    </w:p>
    <w:p>
      <w:pPr>
        <w:spacing w:before="0" w:after="0" w:line="240"/>
        <w:ind w:right="0" w:left="0" w:firstLine="0"/>
        <w:jc w:val="both"/>
        <w:rPr>
          <w:rFonts w:ascii="仿宋" w:hAnsi="仿宋" w:cs="仿宋" w:eastAsia="仿宋"/>
          <w:color w:val="auto"/>
          <w:spacing w:val="0"/>
          <w:position w:val="0"/>
          <w:sz w:val="32"/>
          <w:shd w:fill="auto" w:val="clear"/>
        </w:rPr>
      </w:pPr>
    </w:p>
    <w:p>
      <w:pPr>
        <w:spacing w:before="0" w:after="0" w:line="240"/>
        <w:ind w:right="0" w:left="0" w:firstLine="0"/>
        <w:jc w:val="both"/>
        <w:rPr>
          <w:rFonts w:ascii="仿宋" w:hAnsi="仿宋" w:cs="仿宋" w:eastAsia="仿宋"/>
          <w:color w:val="auto"/>
          <w:spacing w:val="0"/>
          <w:position w:val="0"/>
          <w:sz w:val="32"/>
          <w:shd w:fill="auto" w:val="clear"/>
        </w:rPr>
      </w:pPr>
    </w:p>
    <w:p>
      <w:pPr>
        <w:spacing w:before="0" w:after="0" w:line="240"/>
        <w:ind w:right="0" w:left="0" w:firstLine="0"/>
        <w:jc w:val="both"/>
        <w:rPr>
          <w:rFonts w:ascii="仿宋" w:hAnsi="仿宋" w:cs="仿宋" w:eastAsia="仿宋"/>
          <w:color w:val="auto"/>
          <w:spacing w:val="0"/>
          <w:position w:val="0"/>
          <w:sz w:val="32"/>
          <w:shd w:fill="auto" w:val="clear"/>
        </w:rPr>
      </w:pPr>
    </w:p>
    <w:p>
      <w:pPr>
        <w:spacing w:before="0" w:after="0" w:line="240"/>
        <w:ind w:right="0" w:left="0" w:firstLine="0"/>
        <w:jc w:val="center"/>
        <w:rPr>
          <w:rFonts w:ascii="黑体" w:hAnsi="黑体" w:cs="黑体" w:eastAsia="黑体"/>
          <w:color w:val="auto"/>
          <w:spacing w:val="0"/>
          <w:position w:val="0"/>
          <w:sz w:val="32"/>
          <w:shd w:fill="auto" w:val="clear"/>
        </w:rPr>
      </w:pPr>
      <w:r>
        <w:rPr>
          <w:rFonts w:ascii="黑体" w:hAnsi="黑体" w:cs="黑体" w:eastAsia="黑体"/>
          <w:color w:val="auto"/>
          <w:spacing w:val="0"/>
          <w:position w:val="0"/>
          <w:sz w:val="32"/>
          <w:shd w:fill="auto" w:val="clear"/>
        </w:rPr>
        <w:t xml:space="preserve">第一部分    部门（单位）概况</w:t>
      </w:r>
    </w:p>
    <w:p>
      <w:pPr>
        <w:spacing w:before="0" w:after="0" w:line="240"/>
        <w:ind w:right="0" w:left="0" w:firstLine="0"/>
        <w:jc w:val="left"/>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  </w:t>
      </w:r>
    </w:p>
    <w:p>
      <w:pPr>
        <w:spacing w:before="0" w:after="0" w:line="240"/>
        <w:ind w:right="0" w:left="0" w:firstLine="0"/>
        <w:jc w:val="left"/>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 一、主要职能</w:t>
      </w:r>
    </w:p>
    <w:p>
      <w:pPr>
        <w:spacing w:before="0" w:after="0" w:line="620"/>
        <w:ind w:right="0" w:left="0" w:firstLine="627"/>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单位名称：蛟河市教育技术装备中心</w:t>
      </w:r>
    </w:p>
    <w:p>
      <w:pPr>
        <w:spacing w:before="0" w:after="0" w:line="620"/>
        <w:ind w:right="0" w:left="0" w:firstLine="627"/>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成立时间：1997年</w:t>
      </w:r>
    </w:p>
    <w:p>
      <w:pPr>
        <w:spacing w:before="0" w:after="0" w:line="620"/>
        <w:ind w:right="0" w:left="0" w:firstLine="627"/>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单位性质：蛟河市教育技术装备中心是蛟河市教育局直属事业单位，是全额拨款单独核算的部门。</w:t>
      </w:r>
    </w:p>
    <w:p>
      <w:pPr>
        <w:spacing w:before="0" w:after="0" w:line="240"/>
        <w:ind w:right="0" w:left="0" w:firstLine="64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主要职能：</w:t>
      </w:r>
    </w:p>
    <w:p>
      <w:pPr>
        <w:spacing w:before="0" w:after="0" w:line="240"/>
        <w:ind w:right="0" w:left="0" w:firstLine="64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1.根据教育事业发展要求，制定教育技术装备发展规划和年度工作计划，并负责实施和管理。            </w:t>
      </w:r>
    </w:p>
    <w:p>
      <w:pPr>
        <w:spacing w:before="0" w:after="0" w:line="240"/>
        <w:ind w:right="0" w:left="0" w:firstLine="64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2.负责指导、评估学校教育技术装备建设、配备、管理、使用等工作。充分发挥仪器设备在教育教学中的作用。</w:t>
      </w:r>
    </w:p>
    <w:p>
      <w:pPr>
        <w:spacing w:before="0" w:after="0" w:line="240"/>
        <w:ind w:right="0" w:left="0" w:firstLine="64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3.积极推动实验室及各功能教室建设和管理、实验教学等方面的业务研究，突出学校特色，服务教育教学。</w:t>
      </w:r>
    </w:p>
    <w:p>
      <w:pPr>
        <w:spacing w:before="0" w:after="0" w:line="240"/>
        <w:ind w:right="0" w:left="0" w:firstLine="64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4.负责组织中小学实验室及功能教室管理人员培训，初中毕业生实验操作考查工作。</w:t>
      </w:r>
    </w:p>
    <w:p>
      <w:pPr>
        <w:spacing w:before="0" w:after="0" w:line="240"/>
        <w:ind w:right="0" w:left="0" w:firstLine="64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5.组织学校、幼儿园开展自制教具、玩具、学具等活动。</w:t>
      </w:r>
    </w:p>
    <w:p>
      <w:pPr>
        <w:spacing w:before="0" w:after="0" w:line="240"/>
        <w:ind w:right="0" w:left="0" w:firstLine="64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6.按照财务、审计、政府采购等部门的规定，通过政府采购做好教育技术装备的计划审批、采购和验收等工作。</w:t>
      </w:r>
    </w:p>
    <w:p>
      <w:pPr>
        <w:spacing w:before="0" w:after="0" w:line="620"/>
        <w:ind w:right="0" w:left="0" w:firstLine="627"/>
        <w:jc w:val="both"/>
        <w:rPr>
          <w:rFonts w:ascii="方正小标宋简体" w:hAnsi="方正小标宋简体" w:cs="方正小标宋简体" w:eastAsia="方正小标宋简体"/>
          <w:color w:val="auto"/>
          <w:spacing w:val="0"/>
          <w:position w:val="0"/>
          <w:sz w:val="32"/>
          <w:shd w:fill="auto" w:val="clear"/>
        </w:rPr>
      </w:pPr>
      <w:r>
        <w:rPr>
          <w:rFonts w:ascii="仿宋" w:hAnsi="仿宋" w:cs="仿宋" w:eastAsia="仿宋"/>
          <w:color w:val="auto"/>
          <w:spacing w:val="0"/>
          <w:position w:val="0"/>
          <w:sz w:val="32"/>
          <w:shd w:fill="auto" w:val="clear"/>
        </w:rPr>
        <w:t xml:space="preserve">7.负责年度中小学教育技术装备综合统计、上报工作。</w:t>
      </w:r>
      <w:r>
        <w:rPr>
          <w:rFonts w:ascii="方正小标宋简体" w:hAnsi="方正小标宋简体" w:cs="方正小标宋简体" w:eastAsia="方正小标宋简体"/>
          <w:color w:val="auto"/>
          <w:spacing w:val="0"/>
          <w:position w:val="0"/>
          <w:sz w:val="32"/>
          <w:shd w:fill="auto" w:val="clear"/>
        </w:rPr>
        <w:t xml:space="preserve"> </w:t>
      </w:r>
    </w:p>
    <w:p>
      <w:pPr>
        <w:spacing w:before="0" w:after="0" w:line="240"/>
        <w:ind w:right="0" w:left="0" w:firstLine="0"/>
        <w:jc w:val="left"/>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    主要业务：为学校实施现代化教育教学提供物资和技术保障，仪器、图书、卫生器材、美术器材、劳技器材的装备，计算机及其附属设备、语言设备、电化教学器材的装备、设备的维护、维修、管理人员的培训与管理。</w:t>
      </w:r>
    </w:p>
    <w:p>
      <w:pPr>
        <w:spacing w:before="0" w:after="0" w:line="240"/>
        <w:ind w:right="0" w:left="0" w:firstLine="0"/>
        <w:jc w:val="left"/>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   二、机构设置</w:t>
      </w:r>
    </w:p>
    <w:p>
      <w:pPr>
        <w:spacing w:before="0" w:after="0" w:line="240"/>
        <w:ind w:right="0" w:left="0" w:firstLine="64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机构设置包括：蛟河市教育技术装备中心办公室</w:t>
      </w:r>
    </w:p>
    <w:p>
      <w:pPr>
        <w:spacing w:before="0" w:after="0" w:line="240"/>
        <w:ind w:right="0" w:left="0" w:firstLine="627"/>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人员情况：在职人员4人，编制数8人，领导职数1人。</w:t>
      </w:r>
    </w:p>
    <w:p>
      <w:pPr>
        <w:spacing w:before="0" w:after="0" w:line="240"/>
        <w:ind w:right="0" w:left="0" w:firstLine="0"/>
        <w:jc w:val="left"/>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   </w:t>
      </w:r>
    </w:p>
    <w:p>
      <w:pPr>
        <w:spacing w:before="0" w:after="0" w:line="240"/>
        <w:ind w:right="0" w:left="0" w:firstLine="0"/>
        <w:jc w:val="left"/>
        <w:rPr>
          <w:rFonts w:ascii="仿宋" w:hAnsi="仿宋" w:cs="仿宋" w:eastAsia="仿宋"/>
          <w:color w:val="auto"/>
          <w:spacing w:val="0"/>
          <w:position w:val="0"/>
          <w:sz w:val="32"/>
          <w:shd w:fill="auto" w:val="clear"/>
        </w:rPr>
      </w:pPr>
    </w:p>
    <w:p>
      <w:pPr>
        <w:spacing w:before="0" w:after="0" w:line="240"/>
        <w:ind w:right="0" w:left="0" w:firstLine="0"/>
        <w:jc w:val="left"/>
        <w:rPr>
          <w:rFonts w:ascii="仿宋" w:hAnsi="仿宋" w:cs="仿宋" w:eastAsia="仿宋"/>
          <w:color w:val="auto"/>
          <w:spacing w:val="0"/>
          <w:position w:val="0"/>
          <w:sz w:val="32"/>
          <w:shd w:fill="auto" w:val="clear"/>
        </w:rPr>
      </w:pPr>
    </w:p>
    <w:p>
      <w:pPr>
        <w:spacing w:before="0" w:after="0" w:line="240"/>
        <w:ind w:right="0" w:left="0" w:firstLine="0"/>
        <w:jc w:val="left"/>
        <w:rPr>
          <w:rFonts w:ascii="仿宋" w:hAnsi="仿宋" w:cs="仿宋" w:eastAsia="仿宋"/>
          <w:color w:val="auto"/>
          <w:spacing w:val="0"/>
          <w:position w:val="0"/>
          <w:sz w:val="32"/>
          <w:shd w:fill="auto" w:val="clear"/>
        </w:rPr>
      </w:pPr>
    </w:p>
    <w:p>
      <w:pPr>
        <w:spacing w:before="0" w:after="0" w:line="240"/>
        <w:ind w:right="0" w:left="0" w:firstLine="0"/>
        <w:jc w:val="left"/>
        <w:rPr>
          <w:rFonts w:ascii="仿宋" w:hAnsi="仿宋" w:cs="仿宋" w:eastAsia="仿宋"/>
          <w:color w:val="auto"/>
          <w:spacing w:val="0"/>
          <w:position w:val="0"/>
          <w:sz w:val="32"/>
          <w:shd w:fill="auto" w:val="clear"/>
        </w:rPr>
      </w:pPr>
    </w:p>
    <w:p>
      <w:pPr>
        <w:spacing w:before="0" w:after="0" w:line="240"/>
        <w:ind w:right="0" w:left="0" w:firstLine="0"/>
        <w:jc w:val="left"/>
        <w:rPr>
          <w:rFonts w:ascii="仿宋" w:hAnsi="仿宋" w:cs="仿宋" w:eastAsia="仿宋"/>
          <w:color w:val="auto"/>
          <w:spacing w:val="0"/>
          <w:position w:val="0"/>
          <w:sz w:val="32"/>
          <w:shd w:fill="auto" w:val="clear"/>
        </w:rPr>
      </w:pPr>
    </w:p>
    <w:p>
      <w:pPr>
        <w:spacing w:before="0" w:after="0" w:line="240"/>
        <w:ind w:right="0" w:left="0" w:firstLine="0"/>
        <w:jc w:val="left"/>
        <w:rPr>
          <w:rFonts w:ascii="仿宋" w:hAnsi="仿宋" w:cs="仿宋" w:eastAsia="仿宋"/>
          <w:color w:val="auto"/>
          <w:spacing w:val="0"/>
          <w:position w:val="0"/>
          <w:sz w:val="32"/>
          <w:shd w:fill="auto" w:val="clear"/>
        </w:rPr>
      </w:pPr>
    </w:p>
    <w:p>
      <w:pPr>
        <w:spacing w:before="0" w:after="0" w:line="240"/>
        <w:ind w:right="0" w:left="0" w:firstLine="0"/>
        <w:jc w:val="left"/>
        <w:rPr>
          <w:rFonts w:ascii="仿宋" w:hAnsi="仿宋" w:cs="仿宋" w:eastAsia="仿宋"/>
          <w:color w:val="auto"/>
          <w:spacing w:val="0"/>
          <w:position w:val="0"/>
          <w:sz w:val="32"/>
          <w:shd w:fill="auto" w:val="clear"/>
        </w:rPr>
      </w:pPr>
    </w:p>
    <w:p>
      <w:pPr>
        <w:spacing w:before="0" w:after="0" w:line="240"/>
        <w:ind w:right="0" w:left="0" w:firstLine="0"/>
        <w:jc w:val="center"/>
        <w:rPr>
          <w:rFonts w:ascii="黑体" w:hAnsi="黑体" w:cs="黑体" w:eastAsia="黑体"/>
          <w:color w:val="auto"/>
          <w:spacing w:val="0"/>
          <w:position w:val="0"/>
          <w:sz w:val="32"/>
          <w:shd w:fill="auto" w:val="clear"/>
        </w:rPr>
      </w:pPr>
      <w:r>
        <w:rPr>
          <w:rFonts w:ascii="黑体" w:hAnsi="黑体" w:cs="黑体" w:eastAsia="黑体"/>
          <w:color w:val="auto"/>
          <w:spacing w:val="0"/>
          <w:position w:val="0"/>
          <w:sz w:val="32"/>
          <w:shd w:fill="auto" w:val="clear"/>
        </w:rPr>
        <w:t xml:space="preserve">第二部分  情况说明</w:t>
      </w:r>
    </w:p>
    <w:p>
      <w:pPr>
        <w:spacing w:before="0" w:after="0" w:line="240"/>
        <w:ind w:right="0" w:left="0" w:firstLine="0"/>
        <w:jc w:val="left"/>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 </w:t>
      </w:r>
    </w:p>
    <w:p>
      <w:pPr>
        <w:spacing w:before="0" w:after="0" w:line="240"/>
        <w:ind w:right="0" w:left="0" w:firstLine="0"/>
        <w:jc w:val="left"/>
        <w:rPr>
          <w:rFonts w:ascii="楷体" w:hAnsi="楷体" w:cs="楷体" w:eastAsia="楷体"/>
          <w:color w:val="auto"/>
          <w:spacing w:val="0"/>
          <w:position w:val="0"/>
          <w:sz w:val="32"/>
          <w:shd w:fill="auto" w:val="clear"/>
        </w:rPr>
      </w:pPr>
      <w:r>
        <w:rPr>
          <w:rFonts w:ascii="仿宋" w:hAnsi="仿宋" w:cs="仿宋" w:eastAsia="仿宋"/>
          <w:color w:val="auto"/>
          <w:spacing w:val="0"/>
          <w:position w:val="0"/>
          <w:sz w:val="32"/>
          <w:shd w:fill="auto" w:val="clear"/>
        </w:rPr>
        <w:t xml:space="preserve">    </w:t>
      </w:r>
      <w:r>
        <w:rPr>
          <w:rFonts w:ascii="楷体" w:hAnsi="楷体" w:cs="楷体" w:eastAsia="楷体"/>
          <w:color w:val="auto"/>
          <w:spacing w:val="0"/>
          <w:position w:val="0"/>
          <w:sz w:val="32"/>
          <w:shd w:fill="auto" w:val="clear"/>
        </w:rPr>
        <w:t xml:space="preserve">一、2023年收支预算总体情况</w:t>
      </w:r>
    </w:p>
    <w:p>
      <w:pPr>
        <w:spacing w:before="0" w:after="0" w:line="240"/>
        <w:ind w:right="0" w:left="0" w:firstLine="640"/>
        <w:jc w:val="left"/>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按照综合预算的原则，所有收入和支出全部纳入部门预算管理。收入包括：一般公共预算拨款收入、国有资本经营预算拨款收入、其他收入；支出包括：教育支出、社会保障和就业支出、卫生健康支出、住房保障支出、国有资本经营预算支出。2023年收支总预算42.55万元。</w:t>
      </w:r>
    </w:p>
    <w:p>
      <w:pPr>
        <w:spacing w:before="0" w:after="0" w:line="240"/>
        <w:ind w:right="0" w:left="0" w:firstLine="0"/>
        <w:jc w:val="left"/>
        <w:rPr>
          <w:rFonts w:ascii="楷体" w:hAnsi="楷体" w:cs="楷体" w:eastAsia="楷体"/>
          <w:color w:val="auto"/>
          <w:spacing w:val="0"/>
          <w:position w:val="0"/>
          <w:sz w:val="32"/>
          <w:shd w:fill="auto" w:val="clear"/>
        </w:rPr>
      </w:pPr>
      <w:r>
        <w:rPr>
          <w:rFonts w:ascii="仿宋" w:hAnsi="仿宋" w:cs="仿宋" w:eastAsia="仿宋"/>
          <w:color w:val="auto"/>
          <w:spacing w:val="0"/>
          <w:position w:val="0"/>
          <w:sz w:val="32"/>
          <w:shd w:fill="auto" w:val="clear"/>
        </w:rPr>
        <w:t xml:space="preserve">    </w:t>
      </w:r>
      <w:r>
        <w:rPr>
          <w:rFonts w:ascii="楷体" w:hAnsi="楷体" w:cs="楷体" w:eastAsia="楷体"/>
          <w:color w:val="auto"/>
          <w:spacing w:val="0"/>
          <w:position w:val="0"/>
          <w:sz w:val="32"/>
          <w:shd w:fill="auto" w:val="clear"/>
        </w:rPr>
        <w:t xml:space="preserve">二、2023年收入预算情况</w:t>
      </w:r>
    </w:p>
    <w:p>
      <w:pPr>
        <w:spacing w:before="0" w:after="0" w:line="240"/>
        <w:ind w:right="0" w:left="319" w:firstLine="320"/>
        <w:jc w:val="left"/>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2023年本单位收入预算42.55万元，其中：本年收入 42.55万元，占100%。本年收入中，一般公共预算财政拨款收入42.55万元，占100%。</w:t>
      </w:r>
    </w:p>
    <w:p>
      <w:pPr>
        <w:spacing w:before="0" w:after="0" w:line="240"/>
        <w:ind w:right="0" w:left="0" w:firstLine="0"/>
        <w:jc w:val="left"/>
        <w:rPr>
          <w:rFonts w:ascii="楷体" w:hAnsi="楷体" w:cs="楷体" w:eastAsia="楷体"/>
          <w:color w:val="auto"/>
          <w:spacing w:val="0"/>
          <w:position w:val="0"/>
          <w:sz w:val="32"/>
          <w:shd w:fill="auto" w:val="clear"/>
        </w:rPr>
      </w:pPr>
      <w:r>
        <w:rPr>
          <w:rFonts w:ascii="仿宋" w:hAnsi="仿宋" w:cs="仿宋" w:eastAsia="仿宋"/>
          <w:color w:val="auto"/>
          <w:spacing w:val="0"/>
          <w:position w:val="0"/>
          <w:sz w:val="32"/>
          <w:shd w:fill="auto" w:val="clear"/>
        </w:rPr>
        <w:t xml:space="preserve">   </w:t>
      </w:r>
      <w:r>
        <w:rPr>
          <w:rFonts w:ascii="楷体" w:hAnsi="楷体" w:cs="楷体" w:eastAsia="楷体"/>
          <w:color w:val="auto"/>
          <w:spacing w:val="0"/>
          <w:position w:val="0"/>
          <w:sz w:val="32"/>
          <w:shd w:fill="auto" w:val="clear"/>
        </w:rPr>
        <w:t xml:space="preserve"> 三、2023年支出预算情况</w:t>
      </w:r>
    </w:p>
    <w:p>
      <w:pPr>
        <w:spacing w:before="0" w:after="0" w:line="240"/>
        <w:ind w:right="0" w:left="0" w:firstLine="64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2023年支出预算42.55万元，其中：基本支出42.55万元，占100%。</w:t>
      </w:r>
    </w:p>
    <w:p>
      <w:pPr>
        <w:spacing w:before="0" w:after="0" w:line="240"/>
        <w:ind w:right="0" w:left="0" w:firstLine="640"/>
        <w:jc w:val="left"/>
        <w:rPr>
          <w:rFonts w:ascii="楷体" w:hAnsi="楷体" w:cs="楷体" w:eastAsia="楷体"/>
          <w:color w:val="auto"/>
          <w:spacing w:val="0"/>
          <w:position w:val="0"/>
          <w:sz w:val="32"/>
          <w:shd w:fill="auto" w:val="clear"/>
        </w:rPr>
      </w:pPr>
      <w:r>
        <w:rPr>
          <w:rFonts w:ascii="楷体" w:hAnsi="楷体" w:cs="楷体" w:eastAsia="楷体"/>
          <w:color w:val="auto"/>
          <w:spacing w:val="0"/>
          <w:position w:val="0"/>
          <w:sz w:val="32"/>
          <w:shd w:fill="auto" w:val="clear"/>
        </w:rPr>
        <w:t xml:space="preserve">四、2023年财政拨款收支预算情况</w:t>
      </w:r>
    </w:p>
    <w:p>
      <w:pPr>
        <w:spacing w:before="0" w:after="0" w:line="240"/>
        <w:ind w:right="0" w:left="0" w:firstLine="64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2023年财政拨款收支总预算42.55万元，其中：本年收入42.55万元。支出包括：教育支出支出31.81万元，社会保障和就业支出4.95万元，卫生健康支出2.15万元，住房保障支出3.63万元。</w:t>
      </w:r>
    </w:p>
    <w:p>
      <w:pPr>
        <w:spacing w:before="0" w:after="0" w:line="240"/>
        <w:ind w:right="0" w:left="0" w:firstLine="0"/>
        <w:jc w:val="both"/>
        <w:rPr>
          <w:rFonts w:ascii="楷体" w:hAnsi="楷体" w:cs="楷体" w:eastAsia="楷体"/>
          <w:color w:val="auto"/>
          <w:spacing w:val="0"/>
          <w:position w:val="0"/>
          <w:sz w:val="32"/>
          <w:shd w:fill="auto" w:val="clear"/>
        </w:rPr>
      </w:pPr>
      <w:r>
        <w:rPr>
          <w:rFonts w:ascii="仿宋" w:hAnsi="仿宋" w:cs="仿宋" w:eastAsia="仿宋"/>
          <w:color w:val="auto"/>
          <w:spacing w:val="0"/>
          <w:position w:val="0"/>
          <w:sz w:val="32"/>
          <w:shd w:fill="auto" w:val="clear"/>
        </w:rPr>
        <w:t xml:space="preserve">    </w:t>
      </w:r>
      <w:r>
        <w:rPr>
          <w:rFonts w:ascii="楷体" w:hAnsi="楷体" w:cs="楷体" w:eastAsia="楷体"/>
          <w:color w:val="auto"/>
          <w:spacing w:val="0"/>
          <w:position w:val="0"/>
          <w:sz w:val="32"/>
          <w:shd w:fill="auto" w:val="clear"/>
        </w:rPr>
        <w:t xml:space="preserve">五、2023年一般公共预算支出情况</w:t>
      </w:r>
    </w:p>
    <w:p>
      <w:pPr>
        <w:spacing w:before="0" w:after="0" w:line="240"/>
        <w:ind w:right="0" w:left="0" w:firstLine="64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2023年一般公共预算当年拨款42.55万元，其中：基本支出42.55万元，占100%。基本支出中，人员经费40.98万元，占96.3%；公用经费1.57万元，占4%。</w:t>
      </w:r>
    </w:p>
    <w:p>
      <w:pPr>
        <w:spacing w:before="0" w:after="0" w:line="240"/>
        <w:ind w:right="0" w:left="0" w:firstLine="64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教育支出31.81万元，占74.6%，主要用于：人员工资。</w:t>
      </w:r>
    </w:p>
    <w:p>
      <w:pPr>
        <w:spacing w:before="0" w:after="0" w:line="240"/>
        <w:ind w:right="0" w:left="0" w:firstLine="64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社会保障和就业（类）支出4.95万元，占11.6%，主要用于：各种保险（养老、职业、失业）。</w:t>
      </w:r>
    </w:p>
    <w:p>
      <w:pPr>
        <w:spacing w:before="0" w:after="0" w:line="240"/>
        <w:ind w:right="0" w:left="0" w:firstLine="64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卫生健康（类）支出2.15万元，占5%，主要用于：医疗保险。</w:t>
      </w:r>
    </w:p>
    <w:p>
      <w:pPr>
        <w:spacing w:before="0" w:after="0" w:line="240"/>
        <w:ind w:right="0" w:left="0" w:firstLine="64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住房保障（类）支出3.63万元，占8.5%，主要用于：住房公积金。</w:t>
      </w:r>
    </w:p>
    <w:p>
      <w:pPr>
        <w:spacing w:before="0" w:after="0" w:line="240"/>
        <w:ind w:right="0" w:left="0" w:firstLine="0"/>
        <w:jc w:val="both"/>
        <w:rPr>
          <w:rFonts w:ascii="楷体" w:hAnsi="楷体" w:cs="楷体" w:eastAsia="楷体"/>
          <w:color w:val="auto"/>
          <w:spacing w:val="0"/>
          <w:position w:val="0"/>
          <w:sz w:val="32"/>
          <w:shd w:fill="auto" w:val="clear"/>
        </w:rPr>
      </w:pPr>
      <w:r>
        <w:rPr>
          <w:rFonts w:ascii="仿宋" w:hAnsi="仿宋" w:cs="仿宋" w:eastAsia="仿宋"/>
          <w:color w:val="auto"/>
          <w:spacing w:val="0"/>
          <w:position w:val="0"/>
          <w:sz w:val="32"/>
          <w:shd w:fill="auto" w:val="clear"/>
        </w:rPr>
        <w:t xml:space="preserve">   </w:t>
      </w:r>
      <w:r>
        <w:rPr>
          <w:rFonts w:ascii="楷体" w:hAnsi="楷体" w:cs="楷体" w:eastAsia="楷体"/>
          <w:color w:val="auto"/>
          <w:spacing w:val="0"/>
          <w:position w:val="0"/>
          <w:sz w:val="32"/>
          <w:shd w:fill="auto" w:val="clear"/>
        </w:rPr>
        <w:t xml:space="preserve">六、2023年一般公共预算基本支出情况</w:t>
      </w:r>
    </w:p>
    <w:p>
      <w:pPr>
        <w:spacing w:before="0" w:after="0" w:line="240"/>
        <w:ind w:right="0" w:left="0" w:firstLine="64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2023年一般公共预算基本支出42.55万元，其中：</w:t>
      </w:r>
    </w:p>
    <w:p>
      <w:pPr>
        <w:spacing w:before="0" w:after="0" w:line="240"/>
        <w:ind w:right="0" w:left="0" w:firstLine="64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人员经费40.98万元，主要包括：基本工资、津贴补贴、奖金、绩效工资、机关事业单位基本养老保险缴费、职工基本医疗保险缴费、其他社会保障缴费、住房公积金、其他对个人和家庭补助支出等；</w:t>
      </w:r>
    </w:p>
    <w:p>
      <w:pPr>
        <w:spacing w:before="0" w:after="0" w:line="240"/>
        <w:ind w:right="0" w:left="0" w:firstLine="627"/>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公用经费1.57万元，主要包括：办公费、水费、电费、差旅费、工会经费等。</w:t>
      </w:r>
    </w:p>
    <w:p>
      <w:pPr>
        <w:spacing w:before="0" w:after="0" w:line="240"/>
        <w:ind w:right="0" w:left="0" w:firstLine="640"/>
        <w:jc w:val="both"/>
        <w:rPr>
          <w:rFonts w:ascii="楷体" w:hAnsi="楷体" w:cs="楷体" w:eastAsia="楷体"/>
          <w:color w:val="auto"/>
          <w:spacing w:val="0"/>
          <w:position w:val="0"/>
          <w:sz w:val="32"/>
          <w:shd w:fill="auto" w:val="clear"/>
        </w:rPr>
      </w:pPr>
      <w:r>
        <w:rPr>
          <w:rFonts w:ascii="楷体" w:hAnsi="楷体" w:cs="楷体" w:eastAsia="楷体"/>
          <w:color w:val="auto"/>
          <w:spacing w:val="0"/>
          <w:position w:val="0"/>
          <w:sz w:val="32"/>
          <w:shd w:fill="auto" w:val="clear"/>
        </w:rPr>
        <w:t xml:space="preserve">七、2023年一般公共预算财政拨款“三公经费”情况</w:t>
      </w:r>
    </w:p>
    <w:p>
      <w:pPr>
        <w:spacing w:before="0" w:after="0" w:line="240"/>
        <w:ind w:right="0" w:left="0" w:firstLine="0"/>
        <w:jc w:val="both"/>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    本部门无“三公”经费支出。</w:t>
      </w:r>
    </w:p>
    <w:p>
      <w:pPr>
        <w:spacing w:before="0" w:after="0" w:line="240"/>
        <w:ind w:right="0" w:left="0" w:firstLine="0"/>
        <w:jc w:val="both"/>
        <w:rPr>
          <w:rFonts w:ascii="楷体" w:hAnsi="楷体" w:cs="楷体" w:eastAsia="楷体"/>
          <w:color w:val="auto"/>
          <w:spacing w:val="0"/>
          <w:position w:val="0"/>
          <w:sz w:val="32"/>
          <w:shd w:fill="auto" w:val="clear"/>
        </w:rPr>
      </w:pPr>
      <w:r>
        <w:rPr>
          <w:rFonts w:ascii="仿宋" w:hAnsi="仿宋" w:cs="仿宋" w:eastAsia="仿宋"/>
          <w:color w:val="auto"/>
          <w:spacing w:val="0"/>
          <w:position w:val="0"/>
          <w:sz w:val="32"/>
          <w:shd w:fill="auto" w:val="clear"/>
        </w:rPr>
        <w:t xml:space="preserve">   </w:t>
      </w:r>
      <w:r>
        <w:rPr>
          <w:rFonts w:ascii="楷体" w:hAnsi="楷体" w:cs="楷体" w:eastAsia="楷体"/>
          <w:color w:val="auto"/>
          <w:spacing w:val="0"/>
          <w:position w:val="0"/>
          <w:sz w:val="32"/>
          <w:shd w:fill="auto" w:val="clear"/>
        </w:rPr>
        <w:t xml:space="preserve">八、2023年政府性基金预算支出情况</w:t>
      </w:r>
    </w:p>
    <w:p>
      <w:pPr>
        <w:spacing w:before="0" w:after="0" w:line="240"/>
        <w:ind w:right="0" w:left="720" w:firstLine="0"/>
        <w:jc w:val="left"/>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本部门无政府性基金预算支出。</w:t>
      </w:r>
    </w:p>
    <w:p>
      <w:pPr>
        <w:spacing w:before="0" w:after="0" w:line="240"/>
        <w:ind w:right="0" w:left="0" w:firstLine="640"/>
        <w:jc w:val="both"/>
        <w:rPr>
          <w:rFonts w:ascii="楷体" w:hAnsi="楷体" w:cs="楷体" w:eastAsia="楷体"/>
          <w:color w:val="auto"/>
          <w:spacing w:val="0"/>
          <w:position w:val="0"/>
          <w:sz w:val="32"/>
          <w:shd w:fill="auto" w:val="clear"/>
        </w:rPr>
      </w:pPr>
      <w:r>
        <w:rPr>
          <w:rFonts w:ascii="楷体" w:hAnsi="楷体" w:cs="楷体" w:eastAsia="楷体"/>
          <w:color w:val="auto"/>
          <w:spacing w:val="0"/>
          <w:position w:val="0"/>
          <w:sz w:val="32"/>
          <w:shd w:fill="auto" w:val="clear"/>
        </w:rPr>
        <w:t xml:space="preserve">九、2023年国有资本经营预算支出情况</w:t>
      </w:r>
    </w:p>
    <w:p>
      <w:pPr>
        <w:spacing w:before="0" w:after="0" w:line="240"/>
        <w:ind w:right="0" w:left="720" w:firstLine="0"/>
        <w:jc w:val="left"/>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本部门无国有资本经营预算支出。</w:t>
      </w:r>
    </w:p>
    <w:p>
      <w:pPr>
        <w:spacing w:before="0" w:after="0" w:line="240"/>
        <w:ind w:right="0" w:left="0" w:firstLine="0"/>
        <w:jc w:val="left"/>
        <w:rPr>
          <w:rFonts w:ascii="楷体" w:hAnsi="楷体" w:cs="楷体" w:eastAsia="楷体"/>
          <w:color w:val="auto"/>
          <w:spacing w:val="0"/>
          <w:position w:val="0"/>
          <w:sz w:val="32"/>
          <w:shd w:fill="auto" w:val="clear"/>
        </w:rPr>
      </w:pPr>
      <w:r>
        <w:rPr>
          <w:rFonts w:ascii="楷体" w:hAnsi="楷体" w:cs="楷体" w:eastAsia="楷体"/>
          <w:color w:val="auto"/>
          <w:spacing w:val="0"/>
          <w:position w:val="0"/>
          <w:sz w:val="32"/>
          <w:shd w:fill="auto" w:val="clear"/>
        </w:rPr>
        <w:t xml:space="preserve">    十、其他重要事项的说明情况</w:t>
      </w:r>
    </w:p>
    <w:p>
      <w:pPr>
        <w:spacing w:before="0" w:after="0" w:line="240"/>
        <w:ind w:right="0" w:left="0" w:firstLine="0"/>
        <w:jc w:val="left"/>
        <w:rPr>
          <w:rFonts w:ascii="楷体" w:hAnsi="楷体" w:cs="楷体" w:eastAsia="楷体"/>
          <w:color w:val="auto"/>
          <w:spacing w:val="0"/>
          <w:position w:val="0"/>
          <w:sz w:val="32"/>
          <w:shd w:fill="auto" w:val="clear"/>
        </w:rPr>
      </w:pPr>
      <w:r>
        <w:rPr>
          <w:rFonts w:ascii="楷体" w:hAnsi="楷体" w:cs="楷体" w:eastAsia="楷体"/>
          <w:color w:val="auto"/>
          <w:spacing w:val="0"/>
          <w:position w:val="0"/>
          <w:sz w:val="32"/>
          <w:shd w:fill="auto" w:val="clear"/>
        </w:rPr>
        <w:t xml:space="preserve">    无</w:t>
      </w:r>
    </w:p>
    <w:p>
      <w:pPr>
        <w:spacing w:before="0" w:after="0" w:line="240"/>
        <w:ind w:right="0" w:left="0" w:firstLine="0"/>
        <w:jc w:val="left"/>
        <w:rPr>
          <w:rFonts w:ascii="仿宋" w:hAnsi="仿宋" w:cs="仿宋" w:eastAsia="仿宋"/>
          <w:color w:val="auto"/>
          <w:spacing w:val="0"/>
          <w:position w:val="0"/>
          <w:sz w:val="32"/>
          <w:shd w:fill="auto" w:val="clear"/>
        </w:rPr>
      </w:pPr>
    </w:p>
    <w:p>
      <w:pPr>
        <w:spacing w:before="0" w:after="0" w:line="240"/>
        <w:ind w:right="0" w:left="0" w:firstLine="0"/>
        <w:jc w:val="left"/>
        <w:rPr>
          <w:rFonts w:ascii="仿宋" w:hAnsi="仿宋" w:cs="仿宋" w:eastAsia="仿宋"/>
          <w:color w:val="auto"/>
          <w:spacing w:val="0"/>
          <w:position w:val="0"/>
          <w:sz w:val="32"/>
          <w:shd w:fill="auto" w:val="clear"/>
        </w:rPr>
      </w:pPr>
    </w:p>
    <w:p>
      <w:pPr>
        <w:spacing w:before="0" w:after="0" w:line="240"/>
        <w:ind w:right="0" w:left="0" w:firstLine="0"/>
        <w:jc w:val="center"/>
        <w:rPr>
          <w:rFonts w:ascii="仿宋" w:hAnsi="仿宋" w:cs="仿宋" w:eastAsia="仿宋"/>
          <w:color w:val="auto"/>
          <w:spacing w:val="0"/>
          <w:position w:val="0"/>
          <w:sz w:val="32"/>
          <w:shd w:fill="auto" w:val="clear"/>
        </w:rPr>
      </w:pPr>
    </w:p>
    <w:p>
      <w:pPr>
        <w:spacing w:before="0" w:after="0" w:line="240"/>
        <w:ind w:right="0" w:left="0" w:firstLine="0"/>
        <w:jc w:val="center"/>
        <w:rPr>
          <w:rFonts w:ascii="黑体" w:hAnsi="黑体" w:cs="黑体" w:eastAsia="黑体"/>
          <w:color w:val="auto"/>
          <w:spacing w:val="0"/>
          <w:position w:val="0"/>
          <w:sz w:val="32"/>
          <w:shd w:fill="auto" w:val="clear"/>
        </w:rPr>
      </w:pPr>
      <w:r>
        <w:rPr>
          <w:rFonts w:ascii="黑体" w:hAnsi="黑体" w:cs="黑体" w:eastAsia="黑体"/>
          <w:color w:val="auto"/>
          <w:spacing w:val="0"/>
          <w:position w:val="0"/>
          <w:sz w:val="32"/>
          <w:shd w:fill="auto" w:val="clear"/>
        </w:rPr>
        <w:t xml:space="preserve">第三部分  名词解释</w:t>
      </w:r>
    </w:p>
    <w:p>
      <w:pPr>
        <w:spacing w:before="0" w:after="0" w:line="240"/>
        <w:ind w:right="0" w:left="0" w:firstLine="640"/>
        <w:jc w:val="both"/>
        <w:rPr>
          <w:rFonts w:ascii="仿宋_GB2312" w:hAnsi="仿宋_GB2312" w:cs="仿宋_GB2312" w:eastAsia="仿宋_GB2312"/>
          <w:color w:val="auto"/>
          <w:spacing w:val="0"/>
          <w:position w:val="0"/>
          <w:sz w:val="32"/>
          <w:shd w:fill="auto" w:val="clear"/>
        </w:rPr>
      </w:pPr>
      <w:r>
        <w:rPr>
          <w:rFonts w:ascii="宋体" w:hAnsi="宋体" w:cs="宋体" w:eastAsia="宋体"/>
          <w:color w:val="auto"/>
          <w:spacing w:val="0"/>
          <w:position w:val="0"/>
          <w:sz w:val="32"/>
          <w:shd w:fill="auto" w:val="clear"/>
        </w:rPr>
        <w:t xml:space="preserve">一、一般公共预算拨款收入：指本级财政通过当年一般公共预算拨付的资金。</w:t>
      </w:r>
    </w:p>
    <w:p>
      <w:pPr>
        <w:spacing w:before="0" w:after="0" w:line="240"/>
        <w:ind w:right="0" w:left="0" w:firstLine="640"/>
        <w:jc w:val="both"/>
        <w:rPr>
          <w:rFonts w:ascii="仿宋_GB2312" w:hAnsi="仿宋_GB2312" w:cs="仿宋_GB2312" w:eastAsia="仿宋_GB2312"/>
          <w:color w:val="auto"/>
          <w:spacing w:val="0"/>
          <w:position w:val="0"/>
          <w:sz w:val="32"/>
          <w:shd w:fill="auto" w:val="clear"/>
        </w:rPr>
      </w:pPr>
      <w:r>
        <w:rPr>
          <w:rFonts w:ascii="宋体" w:hAnsi="宋体" w:cs="宋体" w:eastAsia="宋体"/>
          <w:color w:val="auto"/>
          <w:spacing w:val="0"/>
          <w:position w:val="0"/>
          <w:sz w:val="32"/>
          <w:shd w:fill="auto" w:val="clear"/>
        </w:rPr>
        <w:t xml:space="preserve">二、其他收入：指除上述收入以外的各项收入。包括银行存款利息收入。</w:t>
      </w:r>
    </w:p>
    <w:p>
      <w:pPr>
        <w:spacing w:before="0" w:after="0" w:line="240"/>
        <w:ind w:right="0" w:left="0" w:firstLine="640"/>
        <w:jc w:val="both"/>
        <w:rPr>
          <w:rFonts w:ascii="仿宋_GB2312" w:hAnsi="仿宋_GB2312" w:cs="仿宋_GB2312" w:eastAsia="仿宋_GB2312"/>
          <w:color w:val="auto"/>
          <w:spacing w:val="0"/>
          <w:position w:val="0"/>
          <w:sz w:val="32"/>
          <w:shd w:fill="auto" w:val="clear"/>
        </w:rPr>
      </w:pPr>
      <w:r>
        <w:rPr>
          <w:rFonts w:ascii="宋体" w:hAnsi="宋体" w:cs="宋体" w:eastAsia="宋体"/>
          <w:color w:val="auto"/>
          <w:spacing w:val="0"/>
          <w:position w:val="0"/>
          <w:sz w:val="32"/>
          <w:shd w:fill="auto" w:val="clear"/>
        </w:rPr>
        <w:t xml:space="preserve">三、基本支出：指为保障机构正常运转、完成日常工作任务而发生的人员支出和公用支出等各项支出。</w:t>
      </w:r>
    </w:p>
    <w:p>
      <w:pPr>
        <w:spacing w:before="0" w:after="0" w:line="240"/>
        <w:ind w:right="0" w:left="0" w:firstLine="640"/>
        <w:jc w:val="both"/>
        <w:rPr>
          <w:rFonts w:ascii="仿宋_GB2312" w:hAnsi="仿宋_GB2312" w:cs="仿宋_GB2312" w:eastAsia="仿宋_GB2312"/>
          <w:color w:val="auto"/>
          <w:spacing w:val="0"/>
          <w:position w:val="0"/>
          <w:sz w:val="32"/>
          <w:shd w:fill="auto" w:val="clear"/>
        </w:rPr>
      </w:pPr>
      <w:r>
        <w:rPr>
          <w:rFonts w:ascii="宋体" w:hAnsi="宋体" w:cs="宋体" w:eastAsia="宋体"/>
          <w:color w:val="auto"/>
          <w:spacing w:val="0"/>
          <w:position w:val="0"/>
          <w:sz w:val="32"/>
          <w:shd w:fill="auto" w:val="clear"/>
        </w:rPr>
        <w:t xml:space="preserve">四、年初结转和结余：指以前年度尚未完成、结转到本年仍按原规定用途继续使用的资金，或项目已完成等产生的结余资金。</w:t>
      </w:r>
    </w:p>
    <w:p>
      <w:pPr>
        <w:spacing w:before="0" w:after="0" w:line="240"/>
        <w:ind w:right="0" w:left="0" w:firstLine="640"/>
        <w:jc w:val="both"/>
        <w:rPr>
          <w:rFonts w:ascii="仿宋_GB2312" w:hAnsi="仿宋_GB2312" w:cs="仿宋_GB2312" w:eastAsia="仿宋_GB2312"/>
          <w:color w:val="auto"/>
          <w:spacing w:val="0"/>
          <w:position w:val="0"/>
          <w:sz w:val="32"/>
          <w:shd w:fill="auto" w:val="clear"/>
        </w:rPr>
      </w:pPr>
      <w:r>
        <w:rPr>
          <w:rFonts w:ascii="宋体" w:hAnsi="宋体" w:cs="宋体" w:eastAsia="宋体"/>
          <w:color w:val="auto"/>
          <w:spacing w:val="0"/>
          <w:position w:val="0"/>
          <w:sz w:val="32"/>
          <w:shd w:fill="auto" w:val="clear"/>
        </w:rPr>
        <w:t xml:space="preserve">五、年末结转和结余：指事业单位按有关规定结转到下年或以后年度继续使用的资金，或项目已完成等产生的结余资金。</w:t>
      </w:r>
    </w:p>
    <w:p>
      <w:pPr>
        <w:spacing w:before="0" w:after="0" w:line="240"/>
        <w:ind w:right="0" w:left="0" w:firstLine="640"/>
        <w:jc w:val="both"/>
        <w:rPr>
          <w:rFonts w:ascii="仿宋_GB2312" w:hAnsi="仿宋_GB2312" w:cs="仿宋_GB2312" w:eastAsia="仿宋_GB2312"/>
          <w:color w:val="auto"/>
          <w:spacing w:val="0"/>
          <w:position w:val="0"/>
          <w:sz w:val="32"/>
          <w:shd w:fill="auto" w:val="clear"/>
        </w:rPr>
      </w:pPr>
      <w:r>
        <w:rPr>
          <w:rFonts w:ascii="宋体" w:hAnsi="宋体" w:cs="宋体" w:eastAsia="宋体"/>
          <w:color w:val="auto"/>
          <w:spacing w:val="0"/>
          <w:position w:val="0"/>
          <w:sz w:val="32"/>
          <w:shd w:fill="auto" w:val="clear"/>
        </w:rPr>
        <w:t xml:space="preserve">六、住房公积金支出：指行政事业单位按人力资源和社会保障部、财政部规定的基本工资和津贴补贴以及规定比例为职工缴纳的住房公积金支出。</w:t>
      </w:r>
    </w:p>
    <w:p>
      <w:pPr>
        <w:spacing w:before="0" w:after="0" w:line="240"/>
        <w:ind w:right="0" w:left="0" w:firstLine="640"/>
        <w:jc w:val="both"/>
        <w:rPr>
          <w:rFonts w:ascii="仿宋_GB2312" w:hAnsi="仿宋_GB2312" w:cs="仿宋_GB2312" w:eastAsia="仿宋_GB2312"/>
          <w:color w:val="auto"/>
          <w:spacing w:val="0"/>
          <w:position w:val="0"/>
          <w:sz w:val="32"/>
          <w:shd w:fill="auto" w:val="clear"/>
        </w:rPr>
      </w:pPr>
    </w:p>
    <w:p>
      <w:pPr>
        <w:spacing w:before="0" w:after="0" w:line="240"/>
        <w:ind w:right="0" w:left="0" w:firstLine="0"/>
        <w:jc w:val="left"/>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 </w:t>
      </w:r>
    </w:p>
    <w:p>
      <w:pPr>
        <w:spacing w:before="0" w:after="0" w:line="240"/>
        <w:ind w:right="0" w:left="0" w:firstLine="0"/>
        <w:jc w:val="left"/>
        <w:rPr>
          <w:rFonts w:ascii="仿宋" w:hAnsi="仿宋" w:cs="仿宋" w:eastAsia="仿宋"/>
          <w:color w:val="auto"/>
          <w:spacing w:val="0"/>
          <w:position w:val="0"/>
          <w:sz w:val="32"/>
          <w:shd w:fill="auto" w:val="clear"/>
        </w:rPr>
      </w:pPr>
    </w:p>
    <w:p>
      <w:pPr>
        <w:spacing w:before="0" w:after="0" w:line="240"/>
        <w:ind w:right="0" w:left="0" w:firstLine="0"/>
        <w:jc w:val="left"/>
        <w:rPr>
          <w:rFonts w:ascii="仿宋" w:hAnsi="仿宋" w:cs="仿宋" w:eastAsia="仿宋"/>
          <w:color w:val="auto"/>
          <w:spacing w:val="0"/>
          <w:position w:val="0"/>
          <w:sz w:val="32"/>
          <w:shd w:fill="auto" w:val="clear"/>
        </w:rPr>
      </w:pPr>
    </w:p>
    <w:p>
      <w:pPr>
        <w:spacing w:before="0" w:after="0" w:line="240"/>
        <w:ind w:right="0" w:left="0" w:firstLine="0"/>
        <w:jc w:val="center"/>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第四部分  预算表格</w:t>
      </w:r>
    </w:p>
    <w:p>
      <w:pPr>
        <w:spacing w:before="0" w:after="0" w:line="240"/>
        <w:ind w:right="0" w:left="0" w:firstLine="0"/>
        <w:jc w:val="left"/>
        <w:rPr>
          <w:rFonts w:ascii="仿宋" w:hAnsi="仿宋" w:cs="仿宋" w:eastAsia="仿宋"/>
          <w:color w:val="auto"/>
          <w:spacing w:val="0"/>
          <w:position w:val="0"/>
          <w:sz w:val="32"/>
          <w:shd w:fill="auto" w:val="clear"/>
        </w:rPr>
      </w:pPr>
      <w:r>
        <w:rPr>
          <w:rFonts w:ascii="仿宋" w:hAnsi="仿宋" w:cs="仿宋" w:eastAsia="仿宋"/>
          <w:color w:val="auto"/>
          <w:spacing w:val="0"/>
          <w:position w:val="0"/>
          <w:sz w:val="32"/>
          <w:shd w:fill="auto" w:val="clear"/>
        </w:rPr>
        <w:t xml:space="preserve">2023年部门预算表套表（预算一体化系统报表查询模块中提取相应数据）.</w:t>
      </w:r>
    </w:p>
    <w:p>
      <w:pPr>
        <w:spacing w:before="0" w:after="0" w:line="240"/>
        <w:ind w:right="0" w:left="0" w:firstLine="0"/>
        <w:jc w:val="both"/>
        <w:rPr>
          <w:rFonts w:ascii="仿宋" w:hAnsi="仿宋" w:cs="仿宋" w:eastAsia="仿宋"/>
          <w:color w:val="auto"/>
          <w:spacing w:val="0"/>
          <w:position w:val="0"/>
          <w:sz w:val="32"/>
          <w:shd w:fill="auto" w:val="clear"/>
        </w:rPr>
      </w:pPr>
    </w:p>
    <w:p>
      <w:pPr>
        <w:spacing w:before="0" w:after="0" w:line="240"/>
        <w:ind w:right="0" w:left="0" w:firstLine="0"/>
        <w:jc w:val="both"/>
        <w:rPr>
          <w:rFonts w:ascii="仿宋" w:hAnsi="仿宋" w:cs="仿宋" w:eastAsia="仿宋"/>
          <w:b/>
          <w:color w:val="auto"/>
          <w:spacing w:val="0"/>
          <w:position w:val="0"/>
          <w:sz w:val="32"/>
          <w:shd w:fill="auto" w:val="clear"/>
        </w:rPr>
      </w:pPr>
      <w:r>
        <w:rPr>
          <w:rFonts w:ascii="仿宋" w:hAnsi="仿宋" w:cs="仿宋" w:eastAsia="仿宋"/>
          <w:b/>
          <w:color w:val="auto"/>
          <w:spacing w:val="0"/>
          <w:position w:val="0"/>
          <w:sz w:val="32"/>
          <w:shd w:fill="auto" w:val="clear"/>
        </w:rPr>
        <w:t xml:space="preserve">注意：请勿删减文字部分内容，表格中如果是空表也需要保留。</w:t>
      </w: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num w:numId="4">
    <w:abstractNumId w:val="6"/>
  </w:num>
  <w:num w:numId="6">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